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5DAE" w14:textId="151CB8BD" w:rsidR="00A31672" w:rsidRPr="009556F7" w:rsidRDefault="00A31672" w:rsidP="00A31672">
      <w:pPr>
        <w:pStyle w:val="Kopfzeile"/>
        <w:ind w:left="567"/>
        <w:jc w:val="center"/>
        <w:rPr>
          <w:rFonts w:ascii="Arial" w:hAnsi="Arial" w:cs="Arial"/>
          <w:b/>
          <w:color w:val="000000" w:themeColor="accent6"/>
          <w:sz w:val="28"/>
          <w:szCs w:val="28"/>
          <w:lang w:val="de-DE"/>
        </w:rPr>
      </w:pPr>
      <w:r w:rsidRPr="009556F7">
        <w:rPr>
          <w:rFonts w:ascii="Arial" w:hAnsi="Arial" w:cs="Arial"/>
          <w:b/>
          <w:color w:val="000000" w:themeColor="accent6"/>
          <w:sz w:val="28"/>
          <w:szCs w:val="28"/>
          <w:lang w:val="de-DE"/>
        </w:rPr>
        <w:t xml:space="preserve">6.2 Wirksamkeitskontrollen </w:t>
      </w:r>
      <w:r w:rsidR="007A571B" w:rsidRPr="009556F7">
        <w:rPr>
          <w:rFonts w:ascii="Arial" w:hAnsi="Arial" w:cs="Arial"/>
          <w:b/>
          <w:color w:val="000000" w:themeColor="accent6"/>
          <w:sz w:val="28"/>
          <w:szCs w:val="28"/>
          <w:lang w:val="de-DE"/>
        </w:rPr>
        <w:t>und Verbesserungen</w:t>
      </w:r>
    </w:p>
    <w:p w14:paraId="364EDC0A" w14:textId="11109C8F" w:rsidR="00A31672" w:rsidRPr="009556F7" w:rsidRDefault="00A31672" w:rsidP="00A31672">
      <w:pPr>
        <w:pStyle w:val="Kopfzeile"/>
        <w:ind w:left="567"/>
        <w:jc w:val="center"/>
        <w:rPr>
          <w:rFonts w:ascii="Arial" w:hAnsi="Arial" w:cs="Arial"/>
          <w:b/>
          <w:color w:val="000000" w:themeColor="accent6"/>
          <w:sz w:val="28"/>
          <w:szCs w:val="28"/>
          <w:lang w:val="de-DE"/>
        </w:rPr>
      </w:pPr>
      <w:r w:rsidRPr="009556F7">
        <w:rPr>
          <w:rFonts w:ascii="Arial" w:hAnsi="Arial" w:cs="Arial"/>
          <w:b/>
          <w:color w:val="000000" w:themeColor="accent6"/>
          <w:sz w:val="28"/>
          <w:szCs w:val="28"/>
          <w:lang w:val="de-DE"/>
        </w:rPr>
        <w:t>Abweich</w:t>
      </w:r>
      <w:r w:rsidR="00694541" w:rsidRPr="009556F7">
        <w:rPr>
          <w:rFonts w:ascii="Arial" w:hAnsi="Arial" w:cs="Arial"/>
          <w:b/>
          <w:color w:val="000000" w:themeColor="accent6"/>
          <w:sz w:val="28"/>
          <w:szCs w:val="28"/>
          <w:lang w:val="de-DE"/>
        </w:rPr>
        <w:t>ungen und Gründe für Prüfmittelü</w:t>
      </w:r>
      <w:r w:rsidRPr="009556F7">
        <w:rPr>
          <w:rFonts w:ascii="Arial" w:hAnsi="Arial" w:cs="Arial"/>
          <w:b/>
          <w:color w:val="000000" w:themeColor="accent6"/>
          <w:sz w:val="28"/>
          <w:szCs w:val="28"/>
          <w:lang w:val="de-DE"/>
        </w:rPr>
        <w:t>berwachung</w:t>
      </w:r>
    </w:p>
    <w:p w14:paraId="2464E99A" w14:textId="2308EA16" w:rsidR="00BB39B7" w:rsidRPr="009556F7" w:rsidRDefault="00BB39B7" w:rsidP="004758AB">
      <w:pPr>
        <w:pStyle w:val="Kopfzeile"/>
        <w:jc w:val="center"/>
        <w:rPr>
          <w:rFonts w:ascii="Arial" w:hAnsi="Arial" w:cs="Arial"/>
          <w:b/>
          <w:color w:val="000000" w:themeColor="accent6"/>
          <w:szCs w:val="20"/>
          <w:u w:val="single"/>
          <w:lang w:val="de-DE"/>
        </w:rPr>
      </w:pPr>
    </w:p>
    <w:p w14:paraId="47F99B83" w14:textId="4A629364" w:rsidR="00A31672" w:rsidRPr="007F7A21" w:rsidRDefault="00A31672" w:rsidP="00A31672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9556F7">
        <w:rPr>
          <w:rFonts w:ascii="Arial" w:hAnsi="Arial" w:cs="Arial"/>
          <w:color w:val="000000" w:themeColor="accent6"/>
          <w:szCs w:val="20"/>
          <w:lang w:val="de-DE"/>
        </w:rPr>
        <w:t xml:space="preserve">Auffällige Negativbewertungen ziehen eine Quellenanalyse nach sich und ermöglichen so eine sinnvolle </w:t>
      </w:r>
      <w:r w:rsidRPr="007F7A21">
        <w:rPr>
          <w:rFonts w:ascii="Arial" w:hAnsi="Arial" w:cs="Arial"/>
          <w:szCs w:val="20"/>
          <w:lang w:val="de-DE"/>
        </w:rPr>
        <w:t>Maßnahmenfestlegung. Ein wesentlicher Nutzen der Prüfmittelüberwachung ist die Reduktion von Reklamationen</w:t>
      </w:r>
      <w:r w:rsidR="00040044" w:rsidRPr="007F7A21">
        <w:rPr>
          <w:rFonts w:ascii="Arial" w:hAnsi="Arial" w:cs="Arial"/>
          <w:szCs w:val="20"/>
          <w:lang w:val="de-DE"/>
        </w:rPr>
        <w:t>,</w:t>
      </w:r>
      <w:r w:rsidRPr="007F7A21">
        <w:rPr>
          <w:rFonts w:ascii="Arial" w:hAnsi="Arial" w:cs="Arial"/>
          <w:szCs w:val="20"/>
          <w:lang w:val="de-DE"/>
        </w:rPr>
        <w:t xml:space="preserve"> durch Vermeidung von erkennbaren Fehlern, welche sich durch beiderseitige Rückverfolgbarkeit erg</w:t>
      </w:r>
      <w:r w:rsidR="00040044" w:rsidRPr="007F7A21">
        <w:rPr>
          <w:rFonts w:ascii="Arial" w:hAnsi="Arial" w:cs="Arial"/>
          <w:szCs w:val="20"/>
          <w:lang w:val="de-DE"/>
        </w:rPr>
        <w:t>e</w:t>
      </w:r>
      <w:r w:rsidRPr="007F7A21">
        <w:rPr>
          <w:rFonts w:ascii="Arial" w:hAnsi="Arial" w:cs="Arial"/>
          <w:szCs w:val="20"/>
          <w:lang w:val="de-DE"/>
        </w:rPr>
        <w:t>b</w:t>
      </w:r>
      <w:r w:rsidR="00040044" w:rsidRPr="007F7A21">
        <w:rPr>
          <w:rFonts w:ascii="Arial" w:hAnsi="Arial" w:cs="Arial"/>
          <w:szCs w:val="20"/>
          <w:lang w:val="de-DE"/>
        </w:rPr>
        <w:t>en</w:t>
      </w:r>
      <w:r w:rsidRPr="007F7A21">
        <w:rPr>
          <w:rFonts w:ascii="Arial" w:hAnsi="Arial" w:cs="Arial"/>
          <w:szCs w:val="20"/>
          <w:lang w:val="de-DE"/>
        </w:rPr>
        <w:t xml:space="preserve">. Somit </w:t>
      </w:r>
      <w:r w:rsidR="00E149B7" w:rsidRPr="007F7A21">
        <w:rPr>
          <w:rFonts w:ascii="Arial" w:hAnsi="Arial" w:cs="Arial"/>
          <w:szCs w:val="20"/>
          <w:lang w:val="de-DE"/>
        </w:rPr>
        <w:t xml:space="preserve">lassen </w:t>
      </w:r>
      <w:r w:rsidRPr="007F7A21">
        <w:rPr>
          <w:rFonts w:ascii="Arial" w:hAnsi="Arial" w:cs="Arial"/>
          <w:szCs w:val="20"/>
          <w:lang w:val="de-DE"/>
        </w:rPr>
        <w:t>sich wiederholende Mängel beheben</w:t>
      </w:r>
      <w:r w:rsidR="007E1AAA" w:rsidRPr="007F7A21">
        <w:rPr>
          <w:rFonts w:ascii="Arial" w:hAnsi="Arial" w:cs="Arial"/>
          <w:szCs w:val="20"/>
          <w:lang w:val="de-DE"/>
        </w:rPr>
        <w:t xml:space="preserve"> und </w:t>
      </w:r>
      <w:r w:rsidRPr="007F7A21">
        <w:rPr>
          <w:rFonts w:ascii="Arial" w:hAnsi="Arial" w:cs="Arial"/>
          <w:szCs w:val="20"/>
          <w:lang w:val="de-DE"/>
        </w:rPr>
        <w:t xml:space="preserve">erkannte Fehler aus dem System </w:t>
      </w:r>
      <w:r w:rsidR="00E149B7" w:rsidRPr="007F7A21">
        <w:rPr>
          <w:rFonts w:ascii="Arial" w:hAnsi="Arial" w:cs="Arial"/>
          <w:szCs w:val="20"/>
          <w:lang w:val="de-DE"/>
        </w:rPr>
        <w:t>entfernen</w:t>
      </w:r>
      <w:r w:rsidRPr="007F7A21">
        <w:rPr>
          <w:rFonts w:ascii="Arial" w:hAnsi="Arial" w:cs="Arial"/>
          <w:szCs w:val="20"/>
          <w:lang w:val="de-DE"/>
        </w:rPr>
        <w:t xml:space="preserve">. </w:t>
      </w:r>
    </w:p>
    <w:p w14:paraId="42BD3C7E" w14:textId="77777777" w:rsidR="0090442A" w:rsidRPr="007F7A21" w:rsidRDefault="0090442A" w:rsidP="00A31672">
      <w:pPr>
        <w:pStyle w:val="Kopfzeile"/>
        <w:jc w:val="both"/>
        <w:rPr>
          <w:rFonts w:ascii="Arial" w:hAnsi="Arial" w:cs="Arial"/>
          <w:szCs w:val="20"/>
          <w:lang w:val="de-DE"/>
        </w:rPr>
      </w:pPr>
    </w:p>
    <w:p w14:paraId="36707CD3" w14:textId="1F887205" w:rsidR="00A31672" w:rsidRPr="007F7A21" w:rsidRDefault="004B2A65" w:rsidP="00A31672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7F7A21">
        <w:rPr>
          <w:rFonts w:ascii="Arial" w:hAnsi="Arial" w:cs="Arial"/>
          <w:szCs w:val="20"/>
          <w:lang w:val="de-DE"/>
        </w:rPr>
        <w:t xml:space="preserve">Ziel der Systemüberwachung </w:t>
      </w:r>
      <w:r w:rsidR="00A31672" w:rsidRPr="007F7A21">
        <w:rPr>
          <w:rFonts w:ascii="Arial" w:hAnsi="Arial" w:cs="Arial"/>
          <w:szCs w:val="20"/>
          <w:lang w:val="de-DE"/>
        </w:rPr>
        <w:t>bleibt die kontinuierliche Systemoptimierung und die Minimierung von Fehlerquellen. Alle vorhandenen Prüf- und Bewertungsprotokolle dienen als Grundlage für die Erstel</w:t>
      </w:r>
      <w:r w:rsidR="00694541">
        <w:rPr>
          <w:rFonts w:ascii="Arial" w:hAnsi="Arial" w:cs="Arial"/>
          <w:szCs w:val="20"/>
          <w:lang w:val="de-DE"/>
        </w:rPr>
        <w:t>-</w:t>
      </w:r>
      <w:r w:rsidR="00A31672" w:rsidRPr="007F7A21">
        <w:rPr>
          <w:rFonts w:ascii="Arial" w:hAnsi="Arial" w:cs="Arial"/>
          <w:szCs w:val="20"/>
          <w:lang w:val="de-DE"/>
        </w:rPr>
        <w:t xml:space="preserve">lung von auswertbaren, aussagefähigen Daten und Ergebnissen. </w:t>
      </w:r>
    </w:p>
    <w:p w14:paraId="47A7F97B" w14:textId="77777777" w:rsidR="0090442A" w:rsidRPr="007F7A21" w:rsidRDefault="0090442A" w:rsidP="00A31672">
      <w:pPr>
        <w:pStyle w:val="Kopfzeile"/>
        <w:jc w:val="both"/>
        <w:rPr>
          <w:rFonts w:ascii="Arial" w:hAnsi="Arial" w:cs="Arial"/>
          <w:szCs w:val="20"/>
          <w:lang w:val="de-DE"/>
        </w:rPr>
      </w:pPr>
    </w:p>
    <w:p w14:paraId="61A42B11" w14:textId="121ACFA9" w:rsidR="00A31672" w:rsidRPr="007F7A21" w:rsidRDefault="00A31672" w:rsidP="00A31672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7F7A21">
        <w:rPr>
          <w:rFonts w:ascii="Arial" w:hAnsi="Arial" w:cs="Arial"/>
          <w:szCs w:val="20"/>
          <w:lang w:val="de-DE"/>
        </w:rPr>
        <w:t>Dieses Verfahren wird intern</w:t>
      </w:r>
      <w:r w:rsidR="001351EF" w:rsidRPr="007F7A21">
        <w:rPr>
          <w:rFonts w:ascii="Arial" w:hAnsi="Arial" w:cs="Arial"/>
          <w:szCs w:val="20"/>
          <w:lang w:val="de-DE"/>
        </w:rPr>
        <w:t>,</w:t>
      </w:r>
      <w:r w:rsidRPr="007F7A21">
        <w:rPr>
          <w:rFonts w:ascii="Arial" w:hAnsi="Arial" w:cs="Arial"/>
          <w:szCs w:val="20"/>
          <w:lang w:val="de-DE"/>
        </w:rPr>
        <w:t xml:space="preserve"> über die Anwendung der BÜ-Überwachungsmasken</w:t>
      </w:r>
      <w:r w:rsidR="00C42371" w:rsidRPr="007F7A21">
        <w:rPr>
          <w:rFonts w:ascii="Arial" w:hAnsi="Arial" w:cs="Arial"/>
          <w:szCs w:val="20"/>
          <w:lang w:val="de-DE"/>
        </w:rPr>
        <w:t>,</w:t>
      </w:r>
      <w:r w:rsidRPr="007F7A21">
        <w:rPr>
          <w:rFonts w:ascii="Arial" w:hAnsi="Arial" w:cs="Arial"/>
          <w:szCs w:val="20"/>
          <w:lang w:val="de-DE"/>
        </w:rPr>
        <w:t xml:space="preserve"> durch den AMB geregelt und erfolgt m</w:t>
      </w:r>
      <w:r w:rsidR="0084535A" w:rsidRPr="007F7A21">
        <w:rPr>
          <w:rFonts w:ascii="Arial" w:hAnsi="Arial" w:cs="Arial"/>
          <w:szCs w:val="20"/>
          <w:lang w:val="de-DE"/>
        </w:rPr>
        <w:t>it externer</w:t>
      </w:r>
      <w:r w:rsidRPr="007F7A21">
        <w:rPr>
          <w:rFonts w:ascii="Arial" w:hAnsi="Arial" w:cs="Arial"/>
          <w:szCs w:val="20"/>
          <w:lang w:val="de-DE"/>
        </w:rPr>
        <w:t xml:space="preserve"> Unterstützung </w:t>
      </w:r>
      <w:r w:rsidR="0084535A" w:rsidRPr="007F7A21">
        <w:rPr>
          <w:rFonts w:ascii="Arial" w:hAnsi="Arial" w:cs="Arial"/>
          <w:szCs w:val="20"/>
          <w:lang w:val="de-DE"/>
        </w:rPr>
        <w:t>von der SIFA</w:t>
      </w:r>
      <w:r w:rsidRPr="007F7A21">
        <w:rPr>
          <w:rFonts w:ascii="Arial" w:hAnsi="Arial" w:cs="Arial"/>
          <w:szCs w:val="20"/>
          <w:lang w:val="de-DE"/>
        </w:rPr>
        <w:t>.</w:t>
      </w:r>
    </w:p>
    <w:p w14:paraId="299D300E" w14:textId="77777777" w:rsidR="0090442A" w:rsidRPr="007F7A21" w:rsidRDefault="0090442A" w:rsidP="00A31672">
      <w:pPr>
        <w:pStyle w:val="Kopfzeile"/>
        <w:jc w:val="both"/>
        <w:rPr>
          <w:rFonts w:ascii="Arial" w:hAnsi="Arial" w:cs="Arial"/>
          <w:szCs w:val="20"/>
          <w:lang w:val="de-DE"/>
        </w:rPr>
      </w:pPr>
    </w:p>
    <w:p w14:paraId="2B687C63" w14:textId="7C831EF4" w:rsidR="00A31672" w:rsidRPr="007F7A21" w:rsidRDefault="00A31672" w:rsidP="00A31672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7F7A21">
        <w:rPr>
          <w:rFonts w:ascii="Arial" w:hAnsi="Arial" w:cs="Arial"/>
          <w:szCs w:val="20"/>
          <w:lang w:val="de-DE"/>
        </w:rPr>
        <w:t>Die System</w:t>
      </w:r>
      <w:r w:rsidR="004B2A65" w:rsidRPr="007F7A21">
        <w:rPr>
          <w:rFonts w:ascii="Arial" w:hAnsi="Arial" w:cs="Arial"/>
          <w:szCs w:val="20"/>
          <w:lang w:val="de-DE"/>
        </w:rPr>
        <w:t>p</w:t>
      </w:r>
      <w:r w:rsidRPr="007F7A21">
        <w:rPr>
          <w:rFonts w:ascii="Arial" w:hAnsi="Arial" w:cs="Arial"/>
          <w:szCs w:val="20"/>
          <w:lang w:val="de-DE"/>
        </w:rPr>
        <w:t>flege erfordert eine vollständige Erfassung und Identifikation sowie eine Terminüber</w:t>
      </w:r>
      <w:r w:rsidR="00694541">
        <w:rPr>
          <w:rFonts w:ascii="Arial" w:hAnsi="Arial" w:cs="Arial"/>
          <w:szCs w:val="20"/>
          <w:lang w:val="de-DE"/>
        </w:rPr>
        <w:t>-</w:t>
      </w:r>
      <w:r w:rsidRPr="007F7A21">
        <w:rPr>
          <w:rFonts w:ascii="Arial" w:hAnsi="Arial" w:cs="Arial"/>
          <w:szCs w:val="20"/>
          <w:lang w:val="de-DE"/>
        </w:rPr>
        <w:t>wachung der Prüfmittel und Masken. Das Abweichen von den AMS-Standards vermindert die Zu</w:t>
      </w:r>
      <w:r w:rsidR="00694541">
        <w:rPr>
          <w:rFonts w:ascii="Arial" w:hAnsi="Arial" w:cs="Arial"/>
          <w:szCs w:val="20"/>
          <w:lang w:val="de-DE"/>
        </w:rPr>
        <w:t>-</w:t>
      </w:r>
      <w:r w:rsidRPr="007F7A21">
        <w:rPr>
          <w:rFonts w:ascii="Arial" w:hAnsi="Arial" w:cs="Arial"/>
          <w:szCs w:val="20"/>
          <w:lang w:val="de-DE"/>
        </w:rPr>
        <w:t>verlässigkeit unserer Dienstleistung</w:t>
      </w:r>
      <w:r w:rsidR="00E26C0B" w:rsidRPr="007F7A21">
        <w:rPr>
          <w:rFonts w:ascii="Arial" w:hAnsi="Arial" w:cs="Arial"/>
          <w:szCs w:val="20"/>
          <w:lang w:val="de-DE"/>
        </w:rPr>
        <w:t xml:space="preserve"> </w:t>
      </w:r>
      <w:r w:rsidR="00013933" w:rsidRPr="007F7A21">
        <w:rPr>
          <w:rFonts w:ascii="Arial" w:hAnsi="Arial" w:cs="Arial"/>
          <w:szCs w:val="20"/>
          <w:lang w:val="de-DE"/>
        </w:rPr>
        <w:t xml:space="preserve">und </w:t>
      </w:r>
      <w:r w:rsidRPr="007F7A21">
        <w:rPr>
          <w:rFonts w:ascii="Arial" w:hAnsi="Arial" w:cs="Arial"/>
          <w:szCs w:val="20"/>
          <w:lang w:val="de-DE"/>
        </w:rPr>
        <w:t xml:space="preserve">dem beugen wir selbstverständlich vor. </w:t>
      </w:r>
    </w:p>
    <w:p w14:paraId="3059704A" w14:textId="77777777" w:rsidR="0090442A" w:rsidRPr="007F7A21" w:rsidRDefault="0090442A" w:rsidP="00A31672">
      <w:pPr>
        <w:pStyle w:val="Kopfzeile"/>
        <w:jc w:val="both"/>
        <w:rPr>
          <w:rFonts w:ascii="Arial" w:hAnsi="Arial" w:cs="Arial"/>
          <w:szCs w:val="20"/>
          <w:lang w:val="de-DE"/>
        </w:rPr>
      </w:pPr>
    </w:p>
    <w:p w14:paraId="446F8ACA" w14:textId="0AA06203" w:rsidR="0090442A" w:rsidRPr="007F7A21" w:rsidRDefault="00A31672" w:rsidP="00A31672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7F7A21">
        <w:rPr>
          <w:rFonts w:ascii="Arial" w:hAnsi="Arial" w:cs="Arial"/>
          <w:szCs w:val="20"/>
          <w:lang w:val="de-DE"/>
        </w:rPr>
        <w:t xml:space="preserve">Mit den eingeführten Überwachungselementen erzeugen wir die benötigte Rückverfolgbarkeit von Arbeitsgängen </w:t>
      </w:r>
      <w:r w:rsidR="00DF6900" w:rsidRPr="007F7A21">
        <w:rPr>
          <w:rFonts w:ascii="Arial" w:hAnsi="Arial" w:cs="Arial"/>
          <w:szCs w:val="20"/>
          <w:lang w:val="de-DE"/>
        </w:rPr>
        <w:t xml:space="preserve">durch die </w:t>
      </w:r>
      <w:r w:rsidR="001106CD" w:rsidRPr="007F7A21">
        <w:rPr>
          <w:rFonts w:ascii="Arial" w:hAnsi="Arial" w:cs="Arial"/>
          <w:szCs w:val="20"/>
          <w:lang w:val="de-DE"/>
        </w:rPr>
        <w:t>zugehörigen AMS-Dokumente. D</w:t>
      </w:r>
      <w:r w:rsidRPr="007F7A21">
        <w:rPr>
          <w:rFonts w:ascii="Arial" w:hAnsi="Arial" w:cs="Arial"/>
          <w:szCs w:val="20"/>
          <w:lang w:val="de-DE"/>
        </w:rPr>
        <w:t>iese werden wie folgt mit Phasen</w:t>
      </w:r>
      <w:r w:rsidR="001106CD" w:rsidRPr="007F7A21">
        <w:rPr>
          <w:rFonts w:ascii="Arial" w:hAnsi="Arial" w:cs="Arial"/>
          <w:szCs w:val="20"/>
          <w:lang w:val="de-DE"/>
        </w:rPr>
        <w:t>z</w:t>
      </w:r>
      <w:r w:rsidRPr="007F7A21">
        <w:rPr>
          <w:rFonts w:ascii="Arial" w:hAnsi="Arial" w:cs="Arial"/>
          <w:szCs w:val="20"/>
          <w:lang w:val="de-DE"/>
        </w:rPr>
        <w:t>uordnung beschrieben.</w:t>
      </w:r>
    </w:p>
    <w:p w14:paraId="2DC0543A" w14:textId="52B9D49F" w:rsidR="00A31672" w:rsidRPr="007F7A21" w:rsidRDefault="00A31672" w:rsidP="00A31672">
      <w:pPr>
        <w:pStyle w:val="Kopfzeile"/>
        <w:jc w:val="center"/>
        <w:rPr>
          <w:rFonts w:ascii="Arial" w:hAnsi="Arial" w:cs="Arial"/>
          <w:b/>
          <w:sz w:val="24"/>
          <w:szCs w:val="24"/>
          <w:u w:val="single"/>
          <w:lang w:val="de-DE"/>
        </w:rPr>
      </w:pPr>
      <w:r w:rsidRPr="007F7A21">
        <w:rPr>
          <w:rFonts w:ascii="Arial" w:hAnsi="Arial" w:cs="Arial"/>
          <w:b/>
          <w:sz w:val="24"/>
          <w:szCs w:val="24"/>
          <w:u w:val="single"/>
          <w:lang w:val="de-DE"/>
        </w:rPr>
        <w:t>„vor“</w:t>
      </w:r>
    </w:p>
    <w:p w14:paraId="3E1EA7B6" w14:textId="77777777" w:rsidR="00013933" w:rsidRPr="007F7A21" w:rsidRDefault="00013933" w:rsidP="00A31672">
      <w:pPr>
        <w:pStyle w:val="Kopfzeile"/>
        <w:jc w:val="center"/>
        <w:rPr>
          <w:rFonts w:ascii="Arial" w:hAnsi="Arial" w:cs="Arial"/>
          <w:b/>
          <w:sz w:val="12"/>
          <w:szCs w:val="12"/>
          <w:u w:val="single"/>
          <w:lang w:val="de-DE"/>
        </w:rPr>
      </w:pPr>
    </w:p>
    <w:p w14:paraId="0B0B116C" w14:textId="4B1F9D59" w:rsidR="0090442A" w:rsidRPr="007F7A21" w:rsidRDefault="00A31672" w:rsidP="00A31672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7F7A21">
        <w:rPr>
          <w:rFonts w:ascii="Arial" w:hAnsi="Arial" w:cs="Arial"/>
          <w:szCs w:val="20"/>
          <w:lang w:val="de-DE"/>
        </w:rPr>
        <w:t xml:space="preserve">Anwendung von </w:t>
      </w:r>
      <w:r w:rsidR="007504C9" w:rsidRPr="007F7A21">
        <w:rPr>
          <w:rFonts w:ascii="Arial" w:hAnsi="Arial" w:cs="Arial"/>
          <w:szCs w:val="20"/>
          <w:lang w:val="de-DE"/>
        </w:rPr>
        <w:t>Auftragsannahmeformular, ANÜV/</w:t>
      </w:r>
      <w:r w:rsidRPr="007F7A21">
        <w:rPr>
          <w:rFonts w:ascii="Arial" w:hAnsi="Arial" w:cs="Arial"/>
          <w:szCs w:val="20"/>
          <w:lang w:val="de-DE"/>
        </w:rPr>
        <w:t>AV, Personal- und</w:t>
      </w:r>
      <w:r w:rsidR="001106CD" w:rsidRPr="007F7A21">
        <w:rPr>
          <w:rFonts w:ascii="Arial" w:hAnsi="Arial" w:cs="Arial"/>
          <w:szCs w:val="20"/>
          <w:lang w:val="de-DE"/>
        </w:rPr>
        <w:t xml:space="preserve"> Qualifikationsfragebogen </w:t>
      </w:r>
      <w:r w:rsidRPr="007F7A21">
        <w:rPr>
          <w:rFonts w:ascii="Arial" w:hAnsi="Arial" w:cs="Arial"/>
          <w:szCs w:val="20"/>
          <w:lang w:val="de-DE"/>
        </w:rPr>
        <w:t>(mit Selbstbewertung), arbeitssicherheitstechnische Unterweisungen gemäß Vorschriften der</w:t>
      </w:r>
      <w:r w:rsidR="00EB47EE" w:rsidRPr="007F7A21">
        <w:rPr>
          <w:rFonts w:ascii="Arial" w:hAnsi="Arial" w:cs="Arial"/>
          <w:szCs w:val="20"/>
          <w:lang w:val="de-DE"/>
        </w:rPr>
        <w:t xml:space="preserve"> DGUV</w:t>
      </w:r>
      <w:r w:rsidRPr="007F7A21">
        <w:rPr>
          <w:rFonts w:ascii="Arial" w:hAnsi="Arial" w:cs="Arial"/>
          <w:szCs w:val="20"/>
          <w:lang w:val="de-DE"/>
        </w:rPr>
        <w:t xml:space="preserve"> „Deutschen Gesetzlichen Unfallversicherung“. Nutzung Onl</w:t>
      </w:r>
      <w:r w:rsidR="001106CD" w:rsidRPr="007F7A21">
        <w:rPr>
          <w:rFonts w:ascii="Arial" w:hAnsi="Arial" w:cs="Arial"/>
          <w:szCs w:val="20"/>
          <w:lang w:val="de-DE"/>
        </w:rPr>
        <w:t>ine VBG-Fachfragebögen, arbeits</w:t>
      </w:r>
      <w:r w:rsidR="007504C9" w:rsidRPr="007F7A21">
        <w:rPr>
          <w:rFonts w:ascii="Arial" w:hAnsi="Arial" w:cs="Arial"/>
          <w:szCs w:val="20"/>
          <w:lang w:val="de-DE"/>
        </w:rPr>
        <w:t>-</w:t>
      </w:r>
      <w:r w:rsidRPr="007F7A21">
        <w:rPr>
          <w:rFonts w:ascii="Arial" w:hAnsi="Arial" w:cs="Arial"/>
          <w:szCs w:val="20"/>
          <w:lang w:val="de-DE"/>
        </w:rPr>
        <w:t>medizinische Aufklärungs</w:t>
      </w:r>
      <w:r w:rsidR="00EB47EE" w:rsidRPr="007F7A21">
        <w:rPr>
          <w:rFonts w:ascii="Arial" w:hAnsi="Arial" w:cs="Arial"/>
          <w:szCs w:val="20"/>
          <w:lang w:val="de-DE"/>
        </w:rPr>
        <w:softHyphen/>
      </w:r>
      <w:r w:rsidR="00694541">
        <w:rPr>
          <w:rFonts w:ascii="Arial" w:hAnsi="Arial" w:cs="Arial"/>
          <w:szCs w:val="20"/>
          <w:lang w:val="de-DE"/>
        </w:rPr>
        <w:t xml:space="preserve">dokumente, externe und </w:t>
      </w:r>
      <w:r w:rsidRPr="007F7A21">
        <w:rPr>
          <w:rFonts w:ascii="Arial" w:hAnsi="Arial" w:cs="Arial"/>
          <w:szCs w:val="20"/>
          <w:lang w:val="de-DE"/>
        </w:rPr>
        <w:t xml:space="preserve">interne Ein- und </w:t>
      </w:r>
      <w:r w:rsidR="007504C9" w:rsidRPr="007F7A21">
        <w:rPr>
          <w:rFonts w:ascii="Arial" w:hAnsi="Arial" w:cs="Arial"/>
          <w:szCs w:val="20"/>
          <w:lang w:val="de-DE"/>
        </w:rPr>
        <w:t>Unterweisungsbestätigungen.</w:t>
      </w:r>
    </w:p>
    <w:p w14:paraId="6F4246CE" w14:textId="77777777" w:rsidR="007504C9" w:rsidRPr="007F7A21" w:rsidRDefault="007504C9" w:rsidP="00A31672">
      <w:pPr>
        <w:pStyle w:val="Kopfzeile"/>
        <w:jc w:val="both"/>
        <w:rPr>
          <w:rFonts w:ascii="Arial" w:hAnsi="Arial" w:cs="Arial"/>
          <w:szCs w:val="20"/>
          <w:lang w:val="de-DE"/>
        </w:rPr>
      </w:pPr>
    </w:p>
    <w:p w14:paraId="38DE4554" w14:textId="6E1BA8D7" w:rsidR="00A31672" w:rsidRPr="007F7A21" w:rsidRDefault="00A31672" w:rsidP="00A31672">
      <w:pPr>
        <w:pStyle w:val="Kopfzeile"/>
        <w:jc w:val="center"/>
        <w:rPr>
          <w:rFonts w:ascii="Arial" w:hAnsi="Arial" w:cs="Arial"/>
          <w:b/>
          <w:sz w:val="24"/>
          <w:szCs w:val="24"/>
          <w:u w:val="single"/>
          <w:lang w:val="de-DE"/>
        </w:rPr>
      </w:pPr>
      <w:r w:rsidRPr="007F7A21">
        <w:rPr>
          <w:rFonts w:ascii="Arial" w:hAnsi="Arial" w:cs="Arial"/>
          <w:b/>
          <w:sz w:val="24"/>
          <w:szCs w:val="24"/>
          <w:u w:val="single"/>
          <w:lang w:val="de-DE"/>
        </w:rPr>
        <w:t>„während“</w:t>
      </w:r>
    </w:p>
    <w:p w14:paraId="362936B8" w14:textId="77777777" w:rsidR="00013933" w:rsidRPr="007F7A21" w:rsidRDefault="00013933" w:rsidP="00A31672">
      <w:pPr>
        <w:pStyle w:val="Kopfzeile"/>
        <w:jc w:val="center"/>
        <w:rPr>
          <w:rFonts w:ascii="Arial" w:hAnsi="Arial" w:cs="Arial"/>
          <w:b/>
          <w:sz w:val="12"/>
          <w:szCs w:val="12"/>
          <w:u w:val="single"/>
          <w:lang w:val="de-DE"/>
        </w:rPr>
      </w:pPr>
    </w:p>
    <w:p w14:paraId="3F8BD8D4" w14:textId="3C697B5E" w:rsidR="00013933" w:rsidRPr="007F7A21" w:rsidRDefault="00A31672" w:rsidP="00A31672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  <w:r w:rsidRPr="007F7A21">
        <w:rPr>
          <w:rFonts w:ascii="Arial" w:hAnsi="Arial" w:cs="Arial"/>
          <w:szCs w:val="20"/>
          <w:lang w:val="de-DE"/>
        </w:rPr>
        <w:t xml:space="preserve">Arbeitsplatzbesichtigung durch </w:t>
      </w:r>
      <w:r w:rsidR="00FB3630" w:rsidRPr="007F7A21">
        <w:rPr>
          <w:rFonts w:ascii="Arial" w:hAnsi="Arial" w:cs="Arial"/>
          <w:szCs w:val="20"/>
          <w:lang w:val="de-DE"/>
        </w:rPr>
        <w:t>den</w:t>
      </w:r>
      <w:r w:rsidRPr="007F7A21">
        <w:rPr>
          <w:rFonts w:ascii="Arial" w:hAnsi="Arial" w:cs="Arial"/>
          <w:szCs w:val="20"/>
          <w:lang w:val="de-DE"/>
        </w:rPr>
        <w:t xml:space="preserve"> </w:t>
      </w:r>
      <w:r w:rsidR="00694541">
        <w:rPr>
          <w:rFonts w:ascii="Arial" w:hAnsi="Arial" w:cs="Arial"/>
          <w:szCs w:val="20"/>
          <w:lang w:val="de-DE"/>
        </w:rPr>
        <w:t>PET/</w:t>
      </w:r>
      <w:r w:rsidR="0034374B" w:rsidRPr="007F7A21">
        <w:rPr>
          <w:rFonts w:ascii="Arial" w:hAnsi="Arial" w:cs="Arial"/>
          <w:szCs w:val="20"/>
          <w:lang w:val="de-DE"/>
        </w:rPr>
        <w:t xml:space="preserve">Sibe </w:t>
      </w:r>
      <w:r w:rsidR="00FB3630" w:rsidRPr="007F7A21">
        <w:rPr>
          <w:rFonts w:ascii="Arial" w:hAnsi="Arial" w:cs="Arial"/>
          <w:szCs w:val="20"/>
          <w:lang w:val="de-DE"/>
        </w:rPr>
        <w:t>und/oder de</w:t>
      </w:r>
      <w:r w:rsidR="001B098D" w:rsidRPr="007F7A21">
        <w:rPr>
          <w:rFonts w:ascii="Arial" w:hAnsi="Arial" w:cs="Arial"/>
          <w:szCs w:val="20"/>
          <w:lang w:val="de-DE"/>
        </w:rPr>
        <w:t>r</w:t>
      </w:r>
      <w:r w:rsidR="00FB3630" w:rsidRPr="007F7A21">
        <w:rPr>
          <w:rFonts w:ascii="Arial" w:hAnsi="Arial" w:cs="Arial"/>
          <w:szCs w:val="20"/>
          <w:lang w:val="de-DE"/>
        </w:rPr>
        <w:t xml:space="preserve"> </w:t>
      </w:r>
      <w:r w:rsidRPr="007F7A21">
        <w:rPr>
          <w:rFonts w:ascii="Arial" w:hAnsi="Arial" w:cs="Arial"/>
          <w:szCs w:val="20"/>
          <w:lang w:val="de-DE"/>
        </w:rPr>
        <w:t>S</w:t>
      </w:r>
      <w:r w:rsidR="00694541">
        <w:rPr>
          <w:rFonts w:ascii="Arial" w:hAnsi="Arial" w:cs="Arial"/>
          <w:szCs w:val="20"/>
          <w:lang w:val="de-DE"/>
        </w:rPr>
        <w:t>ifa</w:t>
      </w:r>
      <w:r w:rsidR="00FB3630" w:rsidRPr="007F7A21">
        <w:rPr>
          <w:rFonts w:ascii="Arial" w:hAnsi="Arial" w:cs="Arial"/>
          <w:szCs w:val="20"/>
          <w:lang w:val="de-DE"/>
        </w:rPr>
        <w:t xml:space="preserve">. </w:t>
      </w:r>
      <w:r w:rsidRPr="007F7A21">
        <w:rPr>
          <w:rFonts w:ascii="Arial" w:hAnsi="Arial" w:cs="Arial"/>
          <w:szCs w:val="20"/>
          <w:lang w:val="de-DE"/>
        </w:rPr>
        <w:t>Erstellung von Gefährdungs</w:t>
      </w:r>
      <w:r w:rsidR="007504C9" w:rsidRPr="007F7A21">
        <w:rPr>
          <w:rFonts w:ascii="Arial" w:hAnsi="Arial" w:cs="Arial"/>
          <w:szCs w:val="20"/>
          <w:lang w:val="de-DE"/>
        </w:rPr>
        <w:t>-</w:t>
      </w:r>
      <w:r w:rsidRPr="007F7A21">
        <w:rPr>
          <w:rFonts w:ascii="Arial" w:hAnsi="Arial" w:cs="Arial"/>
          <w:szCs w:val="20"/>
          <w:lang w:val="de-DE"/>
        </w:rPr>
        <w:t>beurteilungen, jährliche Anwendung</w:t>
      </w:r>
      <w:r w:rsidR="001B098D" w:rsidRPr="007F7A21">
        <w:rPr>
          <w:rFonts w:ascii="Arial" w:hAnsi="Arial" w:cs="Arial"/>
          <w:szCs w:val="20"/>
          <w:lang w:val="de-DE"/>
        </w:rPr>
        <w:t>en</w:t>
      </w:r>
      <w:r w:rsidRPr="007F7A21">
        <w:rPr>
          <w:rFonts w:ascii="Arial" w:hAnsi="Arial" w:cs="Arial"/>
          <w:szCs w:val="20"/>
          <w:lang w:val="de-DE"/>
        </w:rPr>
        <w:t xml:space="preserve"> </w:t>
      </w:r>
      <w:r w:rsidR="001B098D" w:rsidRPr="007F7A21">
        <w:rPr>
          <w:rFonts w:ascii="Arial" w:hAnsi="Arial" w:cs="Arial"/>
          <w:szCs w:val="20"/>
          <w:lang w:val="de-DE"/>
        </w:rPr>
        <w:t xml:space="preserve">der </w:t>
      </w:r>
      <w:r w:rsidRPr="007F7A21">
        <w:rPr>
          <w:rFonts w:ascii="Arial" w:hAnsi="Arial" w:cs="Arial"/>
          <w:szCs w:val="20"/>
          <w:lang w:val="de-DE"/>
        </w:rPr>
        <w:t>AS-Unterweisung und einsatz</w:t>
      </w:r>
      <w:r w:rsidR="00FB3630" w:rsidRPr="007F7A21">
        <w:rPr>
          <w:rFonts w:ascii="Arial" w:hAnsi="Arial" w:cs="Arial"/>
          <w:szCs w:val="20"/>
          <w:lang w:val="de-DE"/>
        </w:rPr>
        <w:t>spezifische Betriebsan</w:t>
      </w:r>
      <w:r w:rsidR="007504C9" w:rsidRPr="007F7A21">
        <w:rPr>
          <w:rFonts w:ascii="Arial" w:hAnsi="Arial" w:cs="Arial"/>
          <w:szCs w:val="20"/>
          <w:lang w:val="de-DE"/>
        </w:rPr>
        <w:t>-</w:t>
      </w:r>
      <w:r w:rsidR="00FB3630" w:rsidRPr="007F7A21">
        <w:rPr>
          <w:rFonts w:ascii="Arial" w:hAnsi="Arial" w:cs="Arial"/>
          <w:szCs w:val="20"/>
          <w:lang w:val="de-DE"/>
        </w:rPr>
        <w:t>weisungen. D</w:t>
      </w:r>
      <w:r w:rsidRPr="007F7A21">
        <w:rPr>
          <w:rFonts w:ascii="Arial" w:hAnsi="Arial" w:cs="Arial"/>
          <w:szCs w:val="20"/>
          <w:lang w:val="de-DE"/>
        </w:rPr>
        <w:t>igitale</w:t>
      </w:r>
      <w:r w:rsidR="00FB3630" w:rsidRPr="007F7A21">
        <w:rPr>
          <w:rFonts w:ascii="Arial" w:hAnsi="Arial" w:cs="Arial"/>
          <w:szCs w:val="20"/>
          <w:lang w:val="de-DE"/>
        </w:rPr>
        <w:t xml:space="preserve"> Einsatz</w:t>
      </w:r>
      <w:r w:rsidR="001B098D" w:rsidRPr="007F7A21">
        <w:rPr>
          <w:rFonts w:ascii="Arial" w:hAnsi="Arial" w:cs="Arial"/>
          <w:szCs w:val="20"/>
          <w:lang w:val="de-DE"/>
        </w:rPr>
        <w:softHyphen/>
      </w:r>
      <w:r w:rsidR="00FB3630" w:rsidRPr="007F7A21">
        <w:rPr>
          <w:rFonts w:ascii="Arial" w:hAnsi="Arial" w:cs="Arial"/>
          <w:szCs w:val="20"/>
          <w:lang w:val="de-DE"/>
        </w:rPr>
        <w:t>v</w:t>
      </w:r>
      <w:r w:rsidRPr="007F7A21">
        <w:rPr>
          <w:rFonts w:ascii="Arial" w:hAnsi="Arial" w:cs="Arial"/>
          <w:szCs w:val="20"/>
          <w:lang w:val="de-DE"/>
        </w:rPr>
        <w:t>erfolgung und Zeiterfassung, Verfolgung der Einsatzübersicht BÜ</w:t>
      </w:r>
      <w:r w:rsidR="00746292">
        <w:rPr>
          <w:rFonts w:ascii="Arial" w:hAnsi="Arial" w:cs="Arial"/>
          <w:szCs w:val="20"/>
          <w:lang w:val="de-DE"/>
        </w:rPr>
        <w:t> </w:t>
      </w:r>
      <w:r w:rsidRPr="007F7A21">
        <w:rPr>
          <w:rFonts w:ascii="Arial" w:hAnsi="Arial" w:cs="Arial"/>
          <w:szCs w:val="20"/>
          <w:lang w:val="de-DE"/>
        </w:rPr>
        <w:t>07 Schulungs- und Vorsorge</w:t>
      </w:r>
      <w:r w:rsidR="00694541">
        <w:rPr>
          <w:rFonts w:ascii="Arial" w:hAnsi="Arial" w:cs="Arial"/>
          <w:szCs w:val="20"/>
          <w:lang w:val="de-DE"/>
        </w:rPr>
        <w:t>plan, regelmäßiger Telefonk</w:t>
      </w:r>
      <w:r w:rsidRPr="007F7A21">
        <w:rPr>
          <w:rFonts w:ascii="Arial" w:hAnsi="Arial" w:cs="Arial"/>
          <w:szCs w:val="20"/>
          <w:lang w:val="de-DE"/>
        </w:rPr>
        <w:t xml:space="preserve">ontakt für </w:t>
      </w:r>
      <w:r w:rsidR="00694541">
        <w:rPr>
          <w:rFonts w:ascii="Arial" w:hAnsi="Arial" w:cs="Arial"/>
          <w:szCs w:val="20"/>
          <w:lang w:val="de-DE"/>
        </w:rPr>
        <w:t xml:space="preserve">den </w:t>
      </w:r>
      <w:r w:rsidRPr="007F7A21">
        <w:rPr>
          <w:rFonts w:ascii="Arial" w:hAnsi="Arial" w:cs="Arial"/>
          <w:szCs w:val="20"/>
          <w:lang w:val="de-DE"/>
        </w:rPr>
        <w:t>SOLL/IST Abgleich mit den</w:t>
      </w:r>
      <w:r w:rsidR="007504C9" w:rsidRPr="007F7A21">
        <w:rPr>
          <w:rFonts w:ascii="Arial" w:hAnsi="Arial" w:cs="Arial"/>
          <w:szCs w:val="20"/>
          <w:lang w:val="de-DE"/>
        </w:rPr>
        <w:t xml:space="preserve"> Kunden und </w:t>
      </w:r>
      <w:r w:rsidR="00694541">
        <w:rPr>
          <w:rFonts w:ascii="Arial" w:hAnsi="Arial" w:cs="Arial"/>
          <w:szCs w:val="20"/>
          <w:lang w:val="de-DE"/>
        </w:rPr>
        <w:t xml:space="preserve">den </w:t>
      </w:r>
      <w:r w:rsidR="007504C9" w:rsidRPr="007F7A21">
        <w:rPr>
          <w:rFonts w:ascii="Arial" w:hAnsi="Arial" w:cs="Arial"/>
          <w:szCs w:val="20"/>
          <w:lang w:val="de-DE"/>
        </w:rPr>
        <w:t xml:space="preserve">Mitarbeitern </w:t>
      </w:r>
      <w:r w:rsidRPr="007F7A21">
        <w:rPr>
          <w:rFonts w:ascii="Arial" w:hAnsi="Arial" w:cs="Arial"/>
          <w:szCs w:val="20"/>
          <w:lang w:val="de-DE"/>
        </w:rPr>
        <w:t xml:space="preserve">(siehe VA 05, AE 01, </w:t>
      </w:r>
      <w:r w:rsidR="00746292">
        <w:rPr>
          <w:rFonts w:ascii="Arial" w:hAnsi="Arial" w:cs="Arial"/>
          <w:szCs w:val="20"/>
          <w:lang w:val="de-DE"/>
        </w:rPr>
        <w:t xml:space="preserve">AE 01.1, </w:t>
      </w:r>
      <w:r w:rsidRPr="007F7A21">
        <w:rPr>
          <w:rFonts w:ascii="Arial" w:hAnsi="Arial" w:cs="Arial"/>
          <w:szCs w:val="20"/>
          <w:lang w:val="de-DE"/>
        </w:rPr>
        <w:t>AE 10</w:t>
      </w:r>
      <w:r w:rsidR="00746292">
        <w:rPr>
          <w:rFonts w:ascii="Arial" w:hAnsi="Arial" w:cs="Arial"/>
          <w:szCs w:val="20"/>
          <w:lang w:val="de-DE"/>
        </w:rPr>
        <w:t>, AE 10.1</w:t>
      </w:r>
      <w:r w:rsidRPr="007F7A21">
        <w:rPr>
          <w:rFonts w:ascii="Arial" w:hAnsi="Arial" w:cs="Arial"/>
          <w:szCs w:val="20"/>
          <w:lang w:val="de-DE"/>
        </w:rPr>
        <w:t xml:space="preserve">). </w:t>
      </w:r>
    </w:p>
    <w:p w14:paraId="73D08EAD" w14:textId="35AE9061" w:rsidR="00A31672" w:rsidRPr="007F7A21" w:rsidRDefault="00A31672" w:rsidP="00746292">
      <w:pPr>
        <w:pStyle w:val="Kopfzeile"/>
        <w:spacing w:before="240"/>
        <w:jc w:val="center"/>
        <w:rPr>
          <w:rFonts w:ascii="Arial" w:hAnsi="Arial" w:cs="Arial"/>
          <w:b/>
          <w:sz w:val="24"/>
          <w:szCs w:val="24"/>
          <w:u w:val="single"/>
          <w:lang w:val="de-DE"/>
        </w:rPr>
      </w:pPr>
      <w:r w:rsidRPr="007F7A21">
        <w:rPr>
          <w:rFonts w:ascii="Arial" w:hAnsi="Arial" w:cs="Arial"/>
          <w:b/>
          <w:sz w:val="24"/>
          <w:szCs w:val="24"/>
          <w:u w:val="single"/>
          <w:lang w:val="de-DE"/>
        </w:rPr>
        <w:t>„</w:t>
      </w:r>
      <w:r w:rsidR="00694541">
        <w:rPr>
          <w:rFonts w:ascii="Arial" w:hAnsi="Arial" w:cs="Arial"/>
          <w:b/>
          <w:sz w:val="24"/>
          <w:szCs w:val="24"/>
          <w:u w:val="single"/>
          <w:lang w:val="de-DE"/>
        </w:rPr>
        <w:t xml:space="preserve">während und </w:t>
      </w:r>
      <w:r w:rsidRPr="007F7A21">
        <w:rPr>
          <w:rFonts w:ascii="Arial" w:hAnsi="Arial" w:cs="Arial"/>
          <w:b/>
          <w:sz w:val="24"/>
          <w:szCs w:val="24"/>
          <w:u w:val="single"/>
          <w:lang w:val="de-DE"/>
        </w:rPr>
        <w:t>nach“</w:t>
      </w:r>
    </w:p>
    <w:p w14:paraId="6401EDE7" w14:textId="77777777" w:rsidR="00013933" w:rsidRPr="007F7A21" w:rsidRDefault="00013933" w:rsidP="00A31672">
      <w:pPr>
        <w:pStyle w:val="Kopfzeile"/>
        <w:jc w:val="center"/>
        <w:rPr>
          <w:rFonts w:ascii="Arial" w:hAnsi="Arial" w:cs="Arial"/>
          <w:b/>
          <w:sz w:val="12"/>
          <w:szCs w:val="12"/>
          <w:u w:val="single"/>
          <w:lang w:val="de-DE"/>
        </w:rPr>
      </w:pPr>
    </w:p>
    <w:p w14:paraId="0C744570" w14:textId="77777777" w:rsidR="005C1C17" w:rsidRPr="0076771B" w:rsidRDefault="005C1C17" w:rsidP="00A31672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76771B">
        <w:rPr>
          <w:rFonts w:ascii="Arial" w:hAnsi="Arial" w:cs="Arial"/>
          <w:szCs w:val="20"/>
          <w:lang w:val="de-DE"/>
        </w:rPr>
        <w:t>Organisation betriebliche Wiedereingliederungsmaßnahmen (BEM) von länger erkrankten Mitarbeiter (siehe QZ 11). Einsatzüberprüfung und Maßnahmenfestlegung bei Meldung von Schwangerschaften</w:t>
      </w:r>
    </w:p>
    <w:p w14:paraId="22FE7378" w14:textId="76EA0D64" w:rsidR="00A31672" w:rsidRPr="007F7A21" w:rsidRDefault="005C1C17" w:rsidP="00A31672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76771B">
        <w:rPr>
          <w:rFonts w:ascii="Arial" w:hAnsi="Arial" w:cs="Arial"/>
          <w:szCs w:val="20"/>
          <w:lang w:val="de-DE"/>
        </w:rPr>
        <w:t>(siehe QZ 10 - QZ 10.2).</w:t>
      </w:r>
      <w:r>
        <w:rPr>
          <w:rFonts w:ascii="Arial" w:hAnsi="Arial" w:cs="Arial"/>
          <w:szCs w:val="20"/>
          <w:lang w:val="de-DE"/>
        </w:rPr>
        <w:t xml:space="preserve"> </w:t>
      </w:r>
      <w:r w:rsidR="00A31672" w:rsidRPr="007F7A21">
        <w:rPr>
          <w:rFonts w:ascii="Arial" w:hAnsi="Arial" w:cs="Arial"/>
          <w:szCs w:val="20"/>
          <w:lang w:val="de-DE"/>
        </w:rPr>
        <w:t>Bewertung</w:t>
      </w:r>
      <w:r w:rsidR="001B098D" w:rsidRPr="007F7A21">
        <w:rPr>
          <w:rFonts w:ascii="Arial" w:hAnsi="Arial" w:cs="Arial"/>
          <w:szCs w:val="20"/>
          <w:lang w:val="de-DE"/>
        </w:rPr>
        <w:t>en,</w:t>
      </w:r>
      <w:r w:rsidR="00A31672" w:rsidRPr="007F7A21">
        <w:rPr>
          <w:rFonts w:ascii="Arial" w:hAnsi="Arial" w:cs="Arial"/>
          <w:szCs w:val="20"/>
          <w:lang w:val="de-DE"/>
        </w:rPr>
        <w:t xml:space="preserve"> Mitarbeiter und Kunden. Negative oder klärungsbedürftige Vorgänge in allen Phasen des AMS erzeugen den systembedingten Abweichungsbericht (</w:t>
      </w:r>
      <w:r>
        <w:rPr>
          <w:rFonts w:ascii="Arial" w:hAnsi="Arial" w:cs="Arial"/>
          <w:szCs w:val="20"/>
          <w:lang w:val="de-DE"/>
        </w:rPr>
        <w:t>siehe BÜ 02, BÜ 03, Beschwerde</w:t>
      </w:r>
      <w:r w:rsidR="00694541">
        <w:rPr>
          <w:rFonts w:ascii="Arial" w:hAnsi="Arial" w:cs="Arial"/>
          <w:szCs w:val="20"/>
          <w:lang w:val="de-DE"/>
        </w:rPr>
        <w:t>m</w:t>
      </w:r>
      <w:r w:rsidR="00A31672" w:rsidRPr="007F7A21">
        <w:rPr>
          <w:rFonts w:ascii="Arial" w:hAnsi="Arial" w:cs="Arial"/>
          <w:szCs w:val="20"/>
          <w:lang w:val="de-DE"/>
        </w:rPr>
        <w:t xml:space="preserve">anagement AME 7.2., HB II Nr. 6 Abweichungsbericht). </w:t>
      </w:r>
    </w:p>
    <w:p w14:paraId="5C71A478" w14:textId="77777777" w:rsidR="0024798E" w:rsidRPr="007F7A21" w:rsidRDefault="0024798E" w:rsidP="00A31672">
      <w:pPr>
        <w:pStyle w:val="Kopfzeile"/>
        <w:jc w:val="both"/>
        <w:rPr>
          <w:rFonts w:ascii="Arial" w:hAnsi="Arial" w:cs="Arial"/>
          <w:szCs w:val="20"/>
          <w:lang w:val="de-DE"/>
        </w:rPr>
      </w:pPr>
    </w:p>
    <w:p w14:paraId="2520F799" w14:textId="77777777" w:rsidR="0024798E" w:rsidRPr="007F7A21" w:rsidRDefault="0024798E" w:rsidP="0024798E">
      <w:pPr>
        <w:pStyle w:val="Kopfzeile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7F7A21">
        <w:rPr>
          <w:rFonts w:ascii="Arial" w:hAnsi="Arial" w:cs="Arial"/>
          <w:b/>
          <w:sz w:val="28"/>
          <w:szCs w:val="28"/>
          <w:lang w:val="de-DE"/>
        </w:rPr>
        <w:t xml:space="preserve">Abweichungsbericht </w:t>
      </w:r>
    </w:p>
    <w:p w14:paraId="7CC76FE9" w14:textId="77777777" w:rsidR="0024798E" w:rsidRPr="005C1C17" w:rsidRDefault="0024798E" w:rsidP="0024798E">
      <w:pPr>
        <w:pStyle w:val="Kopfzeile"/>
        <w:jc w:val="center"/>
        <w:rPr>
          <w:rFonts w:ascii="Arial" w:hAnsi="Arial" w:cs="Arial"/>
          <w:b/>
          <w:sz w:val="10"/>
          <w:szCs w:val="10"/>
          <w:lang w:val="de-DE"/>
        </w:rPr>
      </w:pPr>
    </w:p>
    <w:p w14:paraId="67C32BEF" w14:textId="67EAA920" w:rsidR="0024798E" w:rsidRDefault="0024798E" w:rsidP="00A31672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7F7A21">
        <w:rPr>
          <w:rFonts w:ascii="Arial" w:hAnsi="Arial" w:cs="Arial"/>
          <w:szCs w:val="20"/>
          <w:lang w:val="de-DE"/>
        </w:rPr>
        <w:t>Die Aufdeckung, Definition und Analyse von Abweichungen, vor, während und nach den Prozessen, sind die Basis für eine ständige Verbesserung unseres AMS. Der frei zugängliche AMS</w:t>
      </w:r>
      <w:r w:rsidR="00694541">
        <w:rPr>
          <w:rFonts w:ascii="Arial" w:hAnsi="Arial" w:cs="Arial"/>
          <w:szCs w:val="20"/>
          <w:lang w:val="de-DE"/>
        </w:rPr>
        <w:t xml:space="preserve"> </w:t>
      </w:r>
      <w:r w:rsidRPr="007F7A21">
        <w:rPr>
          <w:rFonts w:ascii="Arial" w:hAnsi="Arial" w:cs="Arial"/>
          <w:szCs w:val="20"/>
          <w:lang w:val="de-DE"/>
        </w:rPr>
        <w:t>Abweichungs</w:t>
      </w:r>
      <w:r w:rsidR="00694541">
        <w:rPr>
          <w:rFonts w:ascii="Arial" w:hAnsi="Arial" w:cs="Arial"/>
          <w:szCs w:val="20"/>
          <w:lang w:val="de-DE"/>
        </w:rPr>
        <w:t>-</w:t>
      </w:r>
      <w:r w:rsidRPr="007F7A21">
        <w:rPr>
          <w:rFonts w:ascii="Arial" w:hAnsi="Arial" w:cs="Arial"/>
          <w:szCs w:val="20"/>
          <w:lang w:val="de-DE"/>
        </w:rPr>
        <w:t>bericht kann und soll von internen und externen Mitarbeitern genutzt werden.</w:t>
      </w:r>
      <w:r w:rsidR="00694541">
        <w:rPr>
          <w:rFonts w:ascii="Arial" w:hAnsi="Arial" w:cs="Arial"/>
          <w:szCs w:val="20"/>
          <w:lang w:val="de-DE"/>
        </w:rPr>
        <w:t xml:space="preserve"> </w:t>
      </w:r>
      <w:r w:rsidRPr="007F7A21">
        <w:rPr>
          <w:rFonts w:ascii="Arial" w:hAnsi="Arial" w:cs="Arial"/>
          <w:szCs w:val="20"/>
          <w:lang w:val="de-DE"/>
        </w:rPr>
        <w:t xml:space="preserve">Die Einreichung von Berichten erfolgt in der Regel über den AMB und wird zeitnah an </w:t>
      </w:r>
      <w:r w:rsidRPr="00F121F8">
        <w:rPr>
          <w:rFonts w:ascii="Arial" w:hAnsi="Arial" w:cs="Arial"/>
          <w:color w:val="000000" w:themeColor="accent6"/>
          <w:szCs w:val="20"/>
          <w:lang w:val="de-DE"/>
        </w:rPr>
        <w:t xml:space="preserve">die </w:t>
      </w:r>
      <w:r w:rsidR="004763E6" w:rsidRPr="00F121F8">
        <w:rPr>
          <w:rFonts w:ascii="Arial" w:hAnsi="Arial" w:cs="Arial"/>
          <w:color w:val="000000" w:themeColor="accent6"/>
          <w:szCs w:val="20"/>
          <w:lang w:val="de-DE"/>
        </w:rPr>
        <w:t>GF</w:t>
      </w:r>
      <w:r w:rsidR="00694541">
        <w:rPr>
          <w:rFonts w:ascii="Arial" w:hAnsi="Arial" w:cs="Arial"/>
          <w:color w:val="000000" w:themeColor="accent6"/>
          <w:szCs w:val="20"/>
          <w:lang w:val="de-DE"/>
        </w:rPr>
        <w:t>/GL</w:t>
      </w:r>
      <w:r w:rsidR="004763E6" w:rsidRPr="00F121F8">
        <w:rPr>
          <w:rFonts w:ascii="Arial" w:hAnsi="Arial" w:cs="Arial"/>
          <w:color w:val="000000" w:themeColor="accent6"/>
          <w:szCs w:val="20"/>
          <w:lang w:val="de-DE"/>
        </w:rPr>
        <w:t xml:space="preserve"> </w:t>
      </w:r>
      <w:r w:rsidRPr="00F121F8">
        <w:rPr>
          <w:rFonts w:ascii="Arial" w:hAnsi="Arial" w:cs="Arial"/>
          <w:color w:val="000000" w:themeColor="accent6"/>
          <w:szCs w:val="20"/>
          <w:lang w:val="de-DE"/>
        </w:rPr>
        <w:t xml:space="preserve">weitergeleitet. Je nach Art des Inhaltes, werden die Maßnahmen unmittelbar oder gemäß einem </w:t>
      </w:r>
      <w:r w:rsidRPr="007F7A21">
        <w:rPr>
          <w:rFonts w:ascii="Arial" w:hAnsi="Arial" w:cs="Arial"/>
          <w:szCs w:val="20"/>
          <w:lang w:val="de-DE"/>
        </w:rPr>
        <w:t>definierten Rhythmus im Rahmen der nächsten ASA-Sitzung besprochen</w:t>
      </w:r>
      <w:r w:rsidR="00694541">
        <w:rPr>
          <w:rFonts w:ascii="Arial" w:hAnsi="Arial" w:cs="Arial"/>
          <w:szCs w:val="20"/>
          <w:lang w:val="de-DE"/>
        </w:rPr>
        <w:t xml:space="preserve">. </w:t>
      </w:r>
    </w:p>
    <w:p w14:paraId="18EA27BA" w14:textId="1C7E7057" w:rsidR="00AD51C4" w:rsidRPr="007F7A21" w:rsidRDefault="00AD51C4" w:rsidP="00AD51C4">
      <w:pPr>
        <w:pStyle w:val="Kopfzeile"/>
        <w:jc w:val="both"/>
        <w:rPr>
          <w:rFonts w:ascii="Arial" w:hAnsi="Arial" w:cs="Arial"/>
          <w:b/>
          <w:sz w:val="8"/>
          <w:szCs w:val="8"/>
          <w:lang w:val="de-DE"/>
        </w:rPr>
      </w:pPr>
      <w:r w:rsidRPr="007F7A21">
        <w:rPr>
          <w:rFonts w:ascii="Arial" w:hAnsi="Arial" w:cs="Arial"/>
          <w:b/>
          <w:szCs w:val="20"/>
          <w:lang w:val="de-DE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2287"/>
        <w:gridCol w:w="2408"/>
        <w:gridCol w:w="2525"/>
      </w:tblGrid>
      <w:tr w:rsidR="00AD51C4" w:rsidRPr="007F7A21" w14:paraId="14B93B77" w14:textId="77777777" w:rsidTr="007F7A21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14D04" w14:textId="0AAC5CC7" w:rsidR="00AD51C4" w:rsidRPr="007F7A21" w:rsidRDefault="00AD51C4" w:rsidP="007D1F4C">
            <w:pPr>
              <w:pStyle w:val="Kopfzeile"/>
              <w:rPr>
                <w:rFonts w:ascii="Arial" w:hAnsi="Arial" w:cs="Arial"/>
                <w:b/>
                <w:bCs/>
                <w:lang w:val="de-DE"/>
              </w:rPr>
            </w:pPr>
            <w:r w:rsidRPr="007F7A21">
              <w:rPr>
                <w:rFonts w:ascii="Arial" w:hAnsi="Arial" w:cs="Arial"/>
                <w:b/>
                <w:bCs/>
                <w:lang w:val="de-DE"/>
              </w:rPr>
              <w:t xml:space="preserve">HB I 6.2 </w:t>
            </w:r>
            <w:r w:rsidRPr="007F7A21">
              <w:rPr>
                <w:rFonts w:ascii="Arial" w:hAnsi="Arial" w:cs="Arial"/>
                <w:b/>
                <w:lang w:val="de-DE"/>
              </w:rPr>
              <w:t>Seite 2</w:t>
            </w:r>
            <w:r w:rsidR="006C28DC">
              <w:rPr>
                <w:rFonts w:ascii="Arial" w:hAnsi="Arial" w:cs="Arial"/>
                <w:b/>
                <w:lang w:val="de-DE"/>
              </w:rPr>
              <w:t>5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440D5" w14:textId="77777777" w:rsidR="00AD51C4" w:rsidRPr="007F7A21" w:rsidRDefault="00AD51C4" w:rsidP="005C2645">
            <w:pPr>
              <w:pStyle w:val="Kopfzeile"/>
              <w:jc w:val="center"/>
              <w:rPr>
                <w:rFonts w:ascii="Arial" w:hAnsi="Arial" w:cs="Arial"/>
                <w:b/>
                <w:lang w:val="de-DE"/>
              </w:rPr>
            </w:pPr>
            <w:r w:rsidRPr="007F7A21">
              <w:rPr>
                <w:rFonts w:ascii="Arial" w:hAnsi="Arial" w:cs="Arial"/>
                <w:b/>
                <w:lang w:val="de-DE"/>
              </w:rPr>
              <w:t>Erstellung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815EE" w14:textId="2D78DC53" w:rsidR="00AD51C4" w:rsidRPr="007F7A21" w:rsidRDefault="00AD51C4" w:rsidP="003920F5">
            <w:pPr>
              <w:pStyle w:val="Kopfzeile"/>
              <w:jc w:val="center"/>
              <w:rPr>
                <w:rFonts w:ascii="Arial" w:hAnsi="Arial" w:cs="Arial"/>
                <w:b/>
                <w:lang w:val="de-DE"/>
              </w:rPr>
            </w:pPr>
            <w:r w:rsidRPr="007F7A21">
              <w:rPr>
                <w:rFonts w:ascii="Arial" w:hAnsi="Arial" w:cs="Arial"/>
                <w:b/>
                <w:lang w:val="de-DE"/>
              </w:rPr>
              <w:t xml:space="preserve">Prüfung - Version </w:t>
            </w:r>
            <w:r w:rsidR="004641B5">
              <w:rPr>
                <w:rFonts w:ascii="Arial" w:hAnsi="Arial" w:cs="Arial"/>
                <w:b/>
                <w:lang w:val="de-DE"/>
              </w:rPr>
              <w:t>1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E0A2D" w14:textId="77777777" w:rsidR="00AD51C4" w:rsidRPr="007F7A21" w:rsidRDefault="00AD51C4" w:rsidP="005C2645">
            <w:pPr>
              <w:pStyle w:val="Kopfzeile"/>
              <w:jc w:val="center"/>
              <w:rPr>
                <w:rFonts w:ascii="Arial" w:hAnsi="Arial" w:cs="Arial"/>
                <w:b/>
                <w:lang w:val="de-DE"/>
              </w:rPr>
            </w:pPr>
            <w:r w:rsidRPr="007F7A21">
              <w:rPr>
                <w:rFonts w:ascii="Arial" w:hAnsi="Arial" w:cs="Arial"/>
                <w:b/>
                <w:lang w:val="de-DE"/>
              </w:rPr>
              <w:t xml:space="preserve">Genehmigung </w:t>
            </w:r>
          </w:p>
        </w:tc>
      </w:tr>
      <w:tr w:rsidR="004F30C5" w:rsidRPr="007F7A21" w14:paraId="1EFC84DB" w14:textId="77777777" w:rsidTr="007F7A21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AF2EA" w14:textId="77777777" w:rsidR="004F30C5" w:rsidRPr="007F7A21" w:rsidRDefault="004F30C5" w:rsidP="004F30C5">
            <w:pPr>
              <w:pStyle w:val="Kopfzeile"/>
              <w:rPr>
                <w:rFonts w:ascii="Arial" w:hAnsi="Arial" w:cs="Arial"/>
                <w:b/>
                <w:lang w:val="de-DE"/>
              </w:rPr>
            </w:pPr>
            <w:r w:rsidRPr="007F7A21">
              <w:rPr>
                <w:rFonts w:ascii="Arial" w:hAnsi="Arial" w:cs="Arial"/>
                <w:b/>
                <w:lang w:val="de-DE"/>
              </w:rPr>
              <w:t>Datum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5B4B5" w14:textId="171017B1" w:rsidR="004F30C5" w:rsidRPr="007F7A21" w:rsidRDefault="004F30C5" w:rsidP="004F30C5">
            <w:pPr>
              <w:pStyle w:val="Kopfzeile"/>
              <w:jc w:val="center"/>
              <w:rPr>
                <w:rFonts w:ascii="Arial" w:hAnsi="Arial" w:cs="Arial"/>
                <w:lang w:val="de-DE"/>
              </w:rPr>
            </w:pPr>
            <w:r w:rsidRPr="00C979B9">
              <w:t>01.04.2019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231FC" w14:textId="6F6C5440" w:rsidR="004F30C5" w:rsidRPr="007F7A21" w:rsidRDefault="004F30C5" w:rsidP="004F30C5">
            <w:pPr>
              <w:pStyle w:val="Kopfzeile"/>
              <w:jc w:val="center"/>
              <w:rPr>
                <w:rFonts w:ascii="Arial" w:hAnsi="Arial" w:cs="Arial"/>
                <w:lang w:val="de-DE"/>
              </w:rPr>
            </w:pPr>
            <w:r w:rsidRPr="00C979B9">
              <w:t>01.04.2019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46D28" w14:textId="6A2BD85F" w:rsidR="004F30C5" w:rsidRPr="007F7A21" w:rsidRDefault="004F30C5" w:rsidP="004F30C5">
            <w:pPr>
              <w:pStyle w:val="Kopfzeile"/>
              <w:jc w:val="center"/>
              <w:rPr>
                <w:rFonts w:ascii="Arial" w:hAnsi="Arial" w:cs="Arial"/>
                <w:lang w:val="de-DE"/>
              </w:rPr>
            </w:pPr>
            <w:r w:rsidRPr="00C979B9">
              <w:t>01.04.2019</w:t>
            </w:r>
          </w:p>
        </w:tc>
      </w:tr>
      <w:tr w:rsidR="004F30C5" w:rsidRPr="007F7A21" w14:paraId="25C0A1A1" w14:textId="77777777" w:rsidTr="007F7A21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1798F" w14:textId="77777777" w:rsidR="004F30C5" w:rsidRPr="007F7A21" w:rsidRDefault="004F30C5" w:rsidP="004F30C5">
            <w:pPr>
              <w:pStyle w:val="Kopfzeile"/>
              <w:rPr>
                <w:rFonts w:ascii="Arial" w:hAnsi="Arial" w:cs="Arial"/>
                <w:lang w:val="de-DE"/>
              </w:rPr>
            </w:pPr>
            <w:r w:rsidRPr="007F7A21">
              <w:rPr>
                <w:rFonts w:ascii="Arial" w:hAnsi="Arial" w:cs="Arial"/>
                <w:lang w:val="de-DE"/>
              </w:rPr>
              <w:t>Funktion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13F08" w14:textId="6038D4E7" w:rsidR="004F30C5" w:rsidRPr="007F7A21" w:rsidRDefault="004F30C5" w:rsidP="004F30C5">
            <w:pPr>
              <w:pStyle w:val="Kopfzeile"/>
              <w:jc w:val="center"/>
              <w:rPr>
                <w:rFonts w:ascii="Arial" w:hAnsi="Arial" w:cs="Arial"/>
                <w:lang w:val="de-DE"/>
              </w:rPr>
            </w:pPr>
            <w:r w:rsidRPr="00C979B9">
              <w:t xml:space="preserve">Sifa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C1F2C" w14:textId="37734DC6" w:rsidR="004F30C5" w:rsidRPr="007F7A21" w:rsidRDefault="004F30C5" w:rsidP="004F30C5">
            <w:pPr>
              <w:pStyle w:val="Kopfzeile"/>
              <w:jc w:val="center"/>
              <w:rPr>
                <w:rFonts w:ascii="Arial" w:hAnsi="Arial" w:cs="Arial"/>
                <w:lang w:val="de-DE"/>
              </w:rPr>
            </w:pPr>
            <w:r w:rsidRPr="00C979B9">
              <w:t>AMB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4D231" w14:textId="22FE7474" w:rsidR="004F30C5" w:rsidRPr="007F7A21" w:rsidRDefault="004F30C5" w:rsidP="004F30C5">
            <w:pPr>
              <w:pStyle w:val="Kopfzeile"/>
              <w:jc w:val="center"/>
              <w:rPr>
                <w:rFonts w:ascii="Arial" w:hAnsi="Arial" w:cs="Arial"/>
                <w:lang w:val="de-DE"/>
              </w:rPr>
            </w:pPr>
            <w:r w:rsidRPr="00C979B9">
              <w:t>GF</w:t>
            </w:r>
          </w:p>
        </w:tc>
      </w:tr>
      <w:tr w:rsidR="00336383" w14:paraId="6F038149" w14:textId="77777777" w:rsidTr="00336383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66E47" w14:textId="77FAA5B1" w:rsidR="00336383" w:rsidRPr="00336383" w:rsidRDefault="00336383" w:rsidP="00336383">
            <w:pPr>
              <w:pStyle w:val="Kopfzeile"/>
              <w:rPr>
                <w:rFonts w:ascii="Arial" w:hAnsi="Arial" w:cs="Arial"/>
                <w:lang w:val="de-DE"/>
              </w:rPr>
            </w:pPr>
            <w:r w:rsidRPr="00336383">
              <w:rPr>
                <w:rFonts w:ascii="Arial" w:hAnsi="Arial" w:cs="Arial"/>
                <w:noProof/>
                <w:lang w:val="de-DE"/>
              </w:rPr>
              <w:drawing>
                <wp:anchor distT="0" distB="0" distL="114300" distR="114300" simplePos="0" relativeHeight="251660288" behindDoc="1" locked="0" layoutInCell="1" allowOverlap="1" wp14:anchorId="64175534" wp14:editId="636A16D4">
                  <wp:simplePos x="0" y="0"/>
                  <wp:positionH relativeFrom="column">
                    <wp:posOffset>932815</wp:posOffset>
                  </wp:positionH>
                  <wp:positionV relativeFrom="paragraph">
                    <wp:posOffset>3175</wp:posOffset>
                  </wp:positionV>
                  <wp:extent cx="1591310" cy="683895"/>
                  <wp:effectExtent l="0" t="0" r="8890" b="1905"/>
                  <wp:wrapNone/>
                  <wp:docPr id="3" name="Grafik 3" descr="A. Bertram Unterschr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. Bertram Unterschr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683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6383">
              <w:rPr>
                <w:rFonts w:ascii="Arial" w:hAnsi="Arial" w:cs="Arial"/>
                <w:lang w:val="de-DE"/>
              </w:rPr>
              <w:t>Unterschrift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15FA0" w14:textId="77777777" w:rsidR="00336383" w:rsidRPr="00336383" w:rsidRDefault="00336383" w:rsidP="00336383">
            <w:pPr>
              <w:pStyle w:val="Kopfzeile"/>
              <w:jc w:val="center"/>
            </w:pPr>
          </w:p>
          <w:p w14:paraId="398E620E" w14:textId="77777777" w:rsidR="00336383" w:rsidRPr="00336383" w:rsidRDefault="00336383" w:rsidP="00336383">
            <w:pPr>
              <w:pStyle w:val="Kopfzeile"/>
              <w:jc w:val="center"/>
            </w:pPr>
          </w:p>
          <w:p w14:paraId="26548044" w14:textId="77777777" w:rsidR="00336383" w:rsidRPr="00336383" w:rsidRDefault="00336383" w:rsidP="00336383">
            <w:pPr>
              <w:pStyle w:val="Kopfzeile"/>
              <w:jc w:val="center"/>
            </w:pPr>
          </w:p>
          <w:p w14:paraId="12C967A1" w14:textId="77777777" w:rsidR="00336383" w:rsidRPr="00336383" w:rsidRDefault="00336383" w:rsidP="00336383">
            <w:pPr>
              <w:pStyle w:val="Kopfzeile"/>
              <w:jc w:val="center"/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9446F" w14:textId="6E25D256" w:rsidR="00336383" w:rsidRPr="00336383" w:rsidRDefault="00336383" w:rsidP="00336383">
            <w:pPr>
              <w:pStyle w:val="Kopfzeile"/>
              <w:jc w:val="center"/>
            </w:pPr>
            <w:r w:rsidRPr="0033638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E2CA905" wp14:editId="2555F85D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107950</wp:posOffset>
                  </wp:positionV>
                  <wp:extent cx="1675765" cy="534670"/>
                  <wp:effectExtent l="0" t="0" r="635" b="0"/>
                  <wp:wrapNone/>
                  <wp:docPr id="2" name="Grafik 2" descr="R. Geißlinger - Signa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. Geißlinger - Signa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765" cy="534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6383">
              <w:t xml:space="preserve"> </w:t>
            </w:r>
          </w:p>
          <w:p w14:paraId="39E331F6" w14:textId="77777777" w:rsidR="00336383" w:rsidRPr="00336383" w:rsidRDefault="00336383" w:rsidP="00336383">
            <w:pPr>
              <w:pStyle w:val="Kopfzeile"/>
              <w:jc w:val="center"/>
            </w:pPr>
          </w:p>
          <w:p w14:paraId="5C0089D3" w14:textId="77777777" w:rsidR="00336383" w:rsidRPr="00336383" w:rsidRDefault="00336383" w:rsidP="00336383">
            <w:pPr>
              <w:pStyle w:val="Kopfzeile"/>
              <w:jc w:val="center"/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44D3B" w14:textId="39A879D2" w:rsidR="00336383" w:rsidRPr="00336383" w:rsidRDefault="00336383" w:rsidP="00336383">
            <w:pPr>
              <w:pStyle w:val="Kopfzeile"/>
              <w:jc w:val="center"/>
            </w:pPr>
            <w:r w:rsidRPr="00336383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25D0BB1" wp14:editId="36B3B71F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-15875</wp:posOffset>
                  </wp:positionV>
                  <wp:extent cx="1219200" cy="571500"/>
                  <wp:effectExtent l="0" t="0" r="0" b="0"/>
                  <wp:wrapNone/>
                  <wp:docPr id="1" name="Grafik 1" descr="P.Geisslinger Signa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.Geisslinger Signa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4546A0A" w14:textId="110314CC" w:rsidR="00A31672" w:rsidRPr="007F7A21" w:rsidRDefault="00A31672" w:rsidP="00A31672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7F7A21">
        <w:rPr>
          <w:rFonts w:ascii="Arial" w:hAnsi="Arial" w:cs="Arial"/>
          <w:szCs w:val="20"/>
          <w:lang w:val="de-DE"/>
        </w:rPr>
        <w:lastRenderedPageBreak/>
        <w:t>Eine Abweichung ist ein, vom Kunden oder Mitarbeiter, zu verantwortender veränderter Teil der DL, welcher nicht zwingend eine Minderung gegenüber den Qualitätsanforderungen sein muss.</w:t>
      </w:r>
      <w:r w:rsidR="00521CEE" w:rsidRPr="007F7A21">
        <w:rPr>
          <w:rFonts w:ascii="Arial" w:hAnsi="Arial" w:cs="Arial"/>
          <w:szCs w:val="20"/>
          <w:lang w:val="de-DE"/>
        </w:rPr>
        <w:t xml:space="preserve"> </w:t>
      </w:r>
      <w:r w:rsidRPr="007F7A21">
        <w:rPr>
          <w:rFonts w:ascii="Arial" w:hAnsi="Arial" w:cs="Arial"/>
          <w:szCs w:val="20"/>
          <w:lang w:val="de-DE"/>
        </w:rPr>
        <w:t xml:space="preserve">Aus diesem Grund ermöglicht der Abweichungsbericht 4 verschieden Arten der Meldeform. </w:t>
      </w:r>
    </w:p>
    <w:p w14:paraId="0574BABB" w14:textId="77777777" w:rsidR="00A31672" w:rsidRPr="007F7A21" w:rsidRDefault="00A31672" w:rsidP="00A31672">
      <w:pPr>
        <w:pStyle w:val="Kopfzeile"/>
        <w:jc w:val="both"/>
        <w:rPr>
          <w:rFonts w:ascii="Arial" w:hAnsi="Arial" w:cs="Arial"/>
          <w:szCs w:val="20"/>
          <w:lang w:val="de-DE"/>
        </w:rPr>
      </w:pPr>
    </w:p>
    <w:p w14:paraId="42B171A8" w14:textId="2A639AB1" w:rsidR="00A31672" w:rsidRPr="00F121F8" w:rsidRDefault="00A31672" w:rsidP="00A31672">
      <w:pPr>
        <w:pStyle w:val="Kopfzeile"/>
        <w:jc w:val="both"/>
        <w:rPr>
          <w:rFonts w:ascii="Arial" w:hAnsi="Arial" w:cs="Arial"/>
          <w:color w:val="000000" w:themeColor="accent6"/>
          <w:szCs w:val="20"/>
          <w:lang w:val="de-DE"/>
        </w:rPr>
      </w:pPr>
      <w:r w:rsidRPr="007F7A21">
        <w:rPr>
          <w:rFonts w:ascii="Arial" w:hAnsi="Arial" w:cs="Arial"/>
          <w:szCs w:val="20"/>
          <w:lang w:val="de-DE"/>
        </w:rPr>
        <w:t xml:space="preserve">Ein Verbesserungsvorschlag optimiert </w:t>
      </w:r>
      <w:r w:rsidR="00A40873" w:rsidRPr="007F7A21">
        <w:rPr>
          <w:rFonts w:ascii="Arial" w:hAnsi="Arial" w:cs="Arial"/>
          <w:szCs w:val="20"/>
          <w:lang w:val="de-DE"/>
        </w:rPr>
        <w:t xml:space="preserve">immer einen </w:t>
      </w:r>
      <w:r w:rsidRPr="007F7A21">
        <w:rPr>
          <w:rFonts w:ascii="Arial" w:hAnsi="Arial" w:cs="Arial"/>
          <w:szCs w:val="20"/>
          <w:lang w:val="de-DE"/>
        </w:rPr>
        <w:t xml:space="preserve">Teil der </w:t>
      </w:r>
      <w:r w:rsidR="00A40873" w:rsidRPr="007F7A21">
        <w:rPr>
          <w:rFonts w:ascii="Arial" w:hAnsi="Arial" w:cs="Arial"/>
          <w:szCs w:val="20"/>
          <w:lang w:val="de-DE"/>
        </w:rPr>
        <w:t xml:space="preserve">Dienstleistung und/oder führt zu einer Optimierung der Arbeitsbedingungen </w:t>
      </w:r>
      <w:r w:rsidRPr="007F7A21">
        <w:rPr>
          <w:rFonts w:ascii="Arial" w:hAnsi="Arial" w:cs="Arial"/>
          <w:szCs w:val="20"/>
          <w:lang w:val="de-DE"/>
        </w:rPr>
        <w:t xml:space="preserve">und </w:t>
      </w:r>
      <w:r w:rsidRPr="00F121F8">
        <w:rPr>
          <w:rFonts w:ascii="Arial" w:hAnsi="Arial" w:cs="Arial"/>
          <w:color w:val="000000" w:themeColor="accent6"/>
          <w:szCs w:val="20"/>
          <w:lang w:val="de-DE"/>
        </w:rPr>
        <w:t>folgt somit dem gewünschten AMS-Ziel, der positiv-dynamischen Systemerweiterung.</w:t>
      </w:r>
    </w:p>
    <w:p w14:paraId="4FB8507B" w14:textId="77777777" w:rsidR="00A40873" w:rsidRPr="00F121F8" w:rsidRDefault="00A40873" w:rsidP="00A31672">
      <w:pPr>
        <w:pStyle w:val="Kopfzeile"/>
        <w:jc w:val="both"/>
        <w:rPr>
          <w:rFonts w:ascii="Arial" w:hAnsi="Arial" w:cs="Arial"/>
          <w:color w:val="000000" w:themeColor="accent6"/>
          <w:szCs w:val="20"/>
          <w:lang w:val="de-DE"/>
        </w:rPr>
      </w:pPr>
    </w:p>
    <w:p w14:paraId="2C62245B" w14:textId="517D7E1A" w:rsidR="00A31672" w:rsidRPr="00F121F8" w:rsidRDefault="00A40873" w:rsidP="00A31672">
      <w:pPr>
        <w:pStyle w:val="Kopfzeile"/>
        <w:jc w:val="both"/>
        <w:rPr>
          <w:rFonts w:ascii="Arial" w:hAnsi="Arial" w:cs="Arial"/>
          <w:color w:val="000000" w:themeColor="accent6"/>
          <w:szCs w:val="20"/>
          <w:lang w:val="de-DE"/>
        </w:rPr>
      </w:pPr>
      <w:r w:rsidRPr="00F121F8">
        <w:rPr>
          <w:rFonts w:ascii="Arial" w:hAnsi="Arial" w:cs="Arial"/>
          <w:color w:val="000000" w:themeColor="accent6"/>
          <w:szCs w:val="20"/>
          <w:lang w:val="de-DE"/>
        </w:rPr>
        <w:t>Ein System-Fehler ist ein Teil einer Dienstleistung</w:t>
      </w:r>
      <w:r w:rsidR="00A31672" w:rsidRPr="00F121F8">
        <w:rPr>
          <w:rFonts w:ascii="Arial" w:hAnsi="Arial" w:cs="Arial"/>
          <w:color w:val="000000" w:themeColor="accent6"/>
          <w:szCs w:val="20"/>
          <w:lang w:val="de-DE"/>
        </w:rPr>
        <w:t>, wie z.</w:t>
      </w:r>
      <w:r w:rsidR="00746292">
        <w:rPr>
          <w:rFonts w:ascii="Arial" w:hAnsi="Arial" w:cs="Arial"/>
          <w:color w:val="000000" w:themeColor="accent6"/>
          <w:szCs w:val="20"/>
          <w:lang w:val="de-DE"/>
        </w:rPr>
        <w:t> </w:t>
      </w:r>
      <w:r w:rsidR="00A31672" w:rsidRPr="00F121F8">
        <w:rPr>
          <w:rFonts w:ascii="Arial" w:hAnsi="Arial" w:cs="Arial"/>
          <w:color w:val="000000" w:themeColor="accent6"/>
          <w:szCs w:val="20"/>
          <w:lang w:val="de-DE"/>
        </w:rPr>
        <w:t>B. die Beschaffung der Mitarbeiter bis hin zur Rechnungserstellung, der nicht den Qualitätsanforderungen des AMS entspricht. Zur optimalen Um</w:t>
      </w:r>
      <w:r w:rsidR="00AA31AE">
        <w:rPr>
          <w:rFonts w:ascii="Arial" w:hAnsi="Arial" w:cs="Arial"/>
          <w:color w:val="000000" w:themeColor="accent6"/>
          <w:szCs w:val="20"/>
          <w:lang w:val="de-DE"/>
        </w:rPr>
        <w:t>-</w:t>
      </w:r>
      <w:r w:rsidR="00A31672" w:rsidRPr="00F121F8">
        <w:rPr>
          <w:rFonts w:ascii="Arial" w:hAnsi="Arial" w:cs="Arial"/>
          <w:color w:val="000000" w:themeColor="accent6"/>
          <w:szCs w:val="20"/>
          <w:lang w:val="de-DE"/>
        </w:rPr>
        <w:t>setzung des Systems und zur Vermeidung von Fehlern, sind die Vorgaben der AA</w:t>
      </w:r>
      <w:r w:rsidR="00746292">
        <w:rPr>
          <w:rFonts w:ascii="Arial" w:hAnsi="Arial" w:cs="Arial"/>
          <w:color w:val="000000" w:themeColor="accent6"/>
          <w:szCs w:val="20"/>
          <w:lang w:val="de-DE"/>
        </w:rPr>
        <w:t> </w:t>
      </w:r>
      <w:r w:rsidR="00A31672" w:rsidRPr="00F121F8">
        <w:rPr>
          <w:rFonts w:ascii="Arial" w:hAnsi="Arial" w:cs="Arial"/>
          <w:color w:val="000000" w:themeColor="accent6"/>
          <w:szCs w:val="20"/>
          <w:lang w:val="de-DE"/>
        </w:rPr>
        <w:t xml:space="preserve">01 strikt einzuhalten.  </w:t>
      </w:r>
    </w:p>
    <w:p w14:paraId="4C19873B" w14:textId="77777777" w:rsidR="00A31672" w:rsidRPr="00F121F8" w:rsidRDefault="00A31672" w:rsidP="00A31672">
      <w:pPr>
        <w:pStyle w:val="Kopfzeile"/>
        <w:jc w:val="both"/>
        <w:rPr>
          <w:rFonts w:ascii="Arial" w:hAnsi="Arial" w:cs="Arial"/>
          <w:color w:val="000000" w:themeColor="accent6"/>
          <w:szCs w:val="20"/>
          <w:lang w:val="de-DE"/>
        </w:rPr>
      </w:pPr>
    </w:p>
    <w:p w14:paraId="0A65C9EA" w14:textId="555F55A8" w:rsidR="00A31672" w:rsidRPr="00F121F8" w:rsidRDefault="00A31672" w:rsidP="00A31672">
      <w:pPr>
        <w:pStyle w:val="Kopfzeile"/>
        <w:jc w:val="both"/>
        <w:rPr>
          <w:rFonts w:ascii="Arial" w:hAnsi="Arial" w:cs="Arial"/>
          <w:color w:val="000000" w:themeColor="accent6"/>
          <w:szCs w:val="20"/>
          <w:lang w:val="de-DE"/>
        </w:rPr>
      </w:pPr>
      <w:r w:rsidRPr="00F121F8">
        <w:rPr>
          <w:rFonts w:ascii="Arial" w:hAnsi="Arial" w:cs="Arial"/>
          <w:color w:val="000000" w:themeColor="accent6"/>
          <w:szCs w:val="20"/>
          <w:lang w:val="de-DE"/>
        </w:rPr>
        <w:t xml:space="preserve">Eine Beanstandung ist eine Feststellung von bereits dokumentierten Gegebenheiten, </w:t>
      </w:r>
      <w:r w:rsidR="00521CEE" w:rsidRPr="00F121F8">
        <w:rPr>
          <w:rFonts w:ascii="Arial" w:hAnsi="Arial" w:cs="Arial"/>
          <w:color w:val="000000" w:themeColor="accent6"/>
          <w:szCs w:val="20"/>
          <w:lang w:val="de-DE"/>
        </w:rPr>
        <w:t>die</w:t>
      </w:r>
      <w:r w:rsidRPr="00F121F8">
        <w:rPr>
          <w:rFonts w:ascii="Arial" w:hAnsi="Arial" w:cs="Arial"/>
          <w:color w:val="000000" w:themeColor="accent6"/>
          <w:szCs w:val="20"/>
          <w:lang w:val="de-DE"/>
        </w:rPr>
        <w:t xml:space="preserve"> nicht AMS-Konform abgewickelt wurden und von außen auf das System eingewirkt haben. </w:t>
      </w:r>
    </w:p>
    <w:p w14:paraId="7DFFC390" w14:textId="77777777" w:rsidR="00A31672" w:rsidRPr="00F121F8" w:rsidRDefault="00A31672" w:rsidP="00A31672">
      <w:pPr>
        <w:pStyle w:val="Kopfzeile"/>
        <w:jc w:val="both"/>
        <w:rPr>
          <w:rFonts w:ascii="Arial" w:hAnsi="Arial" w:cs="Arial"/>
          <w:color w:val="000000" w:themeColor="accent6"/>
          <w:szCs w:val="20"/>
          <w:lang w:val="de-DE"/>
        </w:rPr>
      </w:pPr>
      <w:r w:rsidRPr="00F121F8">
        <w:rPr>
          <w:rFonts w:ascii="Arial" w:hAnsi="Arial" w:cs="Arial"/>
          <w:color w:val="000000" w:themeColor="accent6"/>
          <w:szCs w:val="20"/>
          <w:lang w:val="de-DE"/>
        </w:rPr>
        <w:t xml:space="preserve"> </w:t>
      </w:r>
    </w:p>
    <w:p w14:paraId="4B1F2F41" w14:textId="204D78D1" w:rsidR="00CD7DC9" w:rsidRPr="00F121F8" w:rsidRDefault="00CD7DC9" w:rsidP="00CD7DC9">
      <w:pPr>
        <w:pStyle w:val="Kopfzeile"/>
        <w:jc w:val="both"/>
        <w:rPr>
          <w:rFonts w:ascii="Arial" w:hAnsi="Arial" w:cs="Arial"/>
          <w:color w:val="000000" w:themeColor="accent6"/>
          <w:szCs w:val="20"/>
          <w:lang w:val="de-DE"/>
        </w:rPr>
      </w:pPr>
      <w:r w:rsidRPr="00F121F8">
        <w:rPr>
          <w:rFonts w:ascii="Arial" w:hAnsi="Arial" w:cs="Arial"/>
          <w:color w:val="000000" w:themeColor="accent6"/>
          <w:szCs w:val="20"/>
          <w:lang w:val="de-DE"/>
        </w:rPr>
        <w:t>Eine Beschwerde ist die Meldung von unkorrekten Verhaltensweisen im Rahmen der geschäftlichen Zusammenarbeit mit Dienstleistern, Bewerbern, Kollegen und Kunden. Beinhaltet d</w:t>
      </w:r>
      <w:r w:rsidR="00D50A14" w:rsidRPr="00F121F8">
        <w:rPr>
          <w:rFonts w:ascii="Arial" w:hAnsi="Arial" w:cs="Arial"/>
          <w:color w:val="000000" w:themeColor="accent6"/>
          <w:szCs w:val="20"/>
          <w:lang w:val="de-DE"/>
        </w:rPr>
        <w:t>ie Beschwerde Hinweise auf Fehlv</w:t>
      </w:r>
      <w:r w:rsidRPr="00F121F8">
        <w:rPr>
          <w:rFonts w:ascii="Arial" w:hAnsi="Arial" w:cs="Arial"/>
          <w:color w:val="000000" w:themeColor="accent6"/>
          <w:szCs w:val="20"/>
          <w:lang w:val="de-DE"/>
        </w:rPr>
        <w:t xml:space="preserve">erhalten in persönlichen, zwischenmenschlichen Bereichen, wird von der </w:t>
      </w:r>
      <w:r w:rsidR="004763E6" w:rsidRPr="00F121F8">
        <w:rPr>
          <w:rFonts w:ascii="Arial" w:hAnsi="Arial" w:cs="Arial"/>
          <w:color w:val="000000" w:themeColor="accent6"/>
          <w:szCs w:val="20"/>
          <w:lang w:val="de-DE"/>
        </w:rPr>
        <w:t>GF</w:t>
      </w:r>
      <w:r w:rsidR="00AA31AE">
        <w:rPr>
          <w:rFonts w:ascii="Arial" w:hAnsi="Arial" w:cs="Arial"/>
          <w:color w:val="000000" w:themeColor="accent6"/>
          <w:szCs w:val="20"/>
          <w:lang w:val="de-DE"/>
        </w:rPr>
        <w:t>/GL</w:t>
      </w:r>
      <w:r w:rsidRPr="00F121F8">
        <w:rPr>
          <w:rFonts w:ascii="Arial" w:hAnsi="Arial" w:cs="Arial"/>
          <w:color w:val="000000" w:themeColor="accent6"/>
          <w:szCs w:val="20"/>
          <w:lang w:val="de-DE"/>
        </w:rPr>
        <w:t xml:space="preserve"> im ersten Schritt geprüft, ob die AGG</w:t>
      </w:r>
      <w:r w:rsidR="00836DB3">
        <w:rPr>
          <w:rFonts w:ascii="Arial" w:hAnsi="Arial" w:cs="Arial"/>
          <w:color w:val="000000" w:themeColor="accent6"/>
          <w:szCs w:val="20"/>
          <w:lang w:val="de-DE"/>
        </w:rPr>
        <w:t xml:space="preserve"> </w:t>
      </w:r>
      <w:r w:rsidRPr="00F121F8">
        <w:rPr>
          <w:rFonts w:ascii="Arial" w:hAnsi="Arial" w:cs="Arial"/>
          <w:color w:val="000000" w:themeColor="accent6"/>
          <w:szCs w:val="20"/>
          <w:lang w:val="de-DE"/>
        </w:rPr>
        <w:t xml:space="preserve">Beschwerdestelle zu aktivieren ist (siehe AA 11).    </w:t>
      </w:r>
    </w:p>
    <w:p w14:paraId="5E5C3C47" w14:textId="77777777" w:rsidR="00CD7DC9" w:rsidRPr="00F121F8" w:rsidRDefault="00CD7DC9" w:rsidP="00A31672">
      <w:pPr>
        <w:pStyle w:val="Kopfzeile"/>
        <w:jc w:val="both"/>
        <w:rPr>
          <w:rFonts w:ascii="Arial" w:hAnsi="Arial" w:cs="Arial"/>
          <w:color w:val="000000" w:themeColor="accent6"/>
          <w:szCs w:val="20"/>
          <w:lang w:val="de-DE"/>
        </w:rPr>
      </w:pPr>
    </w:p>
    <w:p w14:paraId="4EAD2965" w14:textId="77777777" w:rsidR="00AA31AE" w:rsidRDefault="00A31672" w:rsidP="00A31672">
      <w:pPr>
        <w:pStyle w:val="Kopfzeile"/>
        <w:jc w:val="both"/>
        <w:rPr>
          <w:rFonts w:ascii="Arial" w:hAnsi="Arial" w:cs="Arial"/>
          <w:color w:val="000000" w:themeColor="accent6"/>
          <w:szCs w:val="20"/>
          <w:lang w:val="de-DE"/>
        </w:rPr>
      </w:pPr>
      <w:r w:rsidRPr="00F121F8">
        <w:rPr>
          <w:rFonts w:ascii="Arial" w:hAnsi="Arial" w:cs="Arial"/>
          <w:color w:val="000000" w:themeColor="accent6"/>
          <w:szCs w:val="20"/>
          <w:lang w:val="de-DE"/>
        </w:rPr>
        <w:t xml:space="preserve">Aus systemtechnischen Gründen erteilte die </w:t>
      </w:r>
      <w:r w:rsidR="004763E6" w:rsidRPr="00F121F8">
        <w:rPr>
          <w:rFonts w:ascii="Arial" w:hAnsi="Arial" w:cs="Arial"/>
          <w:color w:val="000000" w:themeColor="accent6"/>
          <w:szCs w:val="20"/>
          <w:lang w:val="de-DE"/>
        </w:rPr>
        <w:t>GF</w:t>
      </w:r>
      <w:r w:rsidR="00694541">
        <w:rPr>
          <w:rFonts w:ascii="Arial" w:hAnsi="Arial" w:cs="Arial"/>
          <w:color w:val="000000" w:themeColor="accent6"/>
          <w:szCs w:val="20"/>
          <w:lang w:val="de-DE"/>
        </w:rPr>
        <w:t>/GL</w:t>
      </w:r>
      <w:r w:rsidRPr="00F121F8">
        <w:rPr>
          <w:rFonts w:ascii="Arial" w:hAnsi="Arial" w:cs="Arial"/>
          <w:color w:val="000000" w:themeColor="accent6"/>
          <w:szCs w:val="20"/>
          <w:lang w:val="de-DE"/>
        </w:rPr>
        <w:t xml:space="preserve"> dem zuständigen AMB die benötigte Weisungs</w:t>
      </w:r>
      <w:r w:rsidR="00694541">
        <w:rPr>
          <w:rFonts w:ascii="Arial" w:hAnsi="Arial" w:cs="Arial"/>
          <w:color w:val="000000" w:themeColor="accent6"/>
          <w:szCs w:val="20"/>
          <w:lang w:val="de-DE"/>
        </w:rPr>
        <w:t>-</w:t>
      </w:r>
      <w:r w:rsidRPr="00F121F8">
        <w:rPr>
          <w:rFonts w:ascii="Arial" w:hAnsi="Arial" w:cs="Arial"/>
          <w:color w:val="000000" w:themeColor="accent6"/>
          <w:szCs w:val="20"/>
          <w:lang w:val="de-DE"/>
        </w:rPr>
        <w:t xml:space="preserve">befugnis für die </w:t>
      </w:r>
      <w:r w:rsidR="00AA31AE">
        <w:rPr>
          <w:rFonts w:ascii="Arial" w:hAnsi="Arial" w:cs="Arial"/>
          <w:color w:val="000000" w:themeColor="accent6"/>
          <w:szCs w:val="20"/>
          <w:lang w:val="de-DE"/>
        </w:rPr>
        <w:t xml:space="preserve">Prüfung, Einreichung und </w:t>
      </w:r>
      <w:r w:rsidRPr="00F121F8">
        <w:rPr>
          <w:rFonts w:ascii="Arial" w:hAnsi="Arial" w:cs="Arial"/>
          <w:color w:val="000000" w:themeColor="accent6"/>
          <w:szCs w:val="20"/>
          <w:lang w:val="de-DE"/>
        </w:rPr>
        <w:t>Bearbeitung von AMS-Abweichungsberichten</w:t>
      </w:r>
      <w:r w:rsidR="00694541">
        <w:rPr>
          <w:rFonts w:ascii="Arial" w:hAnsi="Arial" w:cs="Arial"/>
          <w:color w:val="000000" w:themeColor="accent6"/>
          <w:szCs w:val="20"/>
          <w:lang w:val="de-DE"/>
        </w:rPr>
        <w:t xml:space="preserve">. </w:t>
      </w:r>
    </w:p>
    <w:p w14:paraId="565B8775" w14:textId="77777777" w:rsidR="00AA31AE" w:rsidRDefault="00AA31AE" w:rsidP="00A31672">
      <w:pPr>
        <w:pStyle w:val="Kopfzeile"/>
        <w:jc w:val="both"/>
        <w:rPr>
          <w:rFonts w:ascii="Arial" w:hAnsi="Arial" w:cs="Arial"/>
          <w:color w:val="000000" w:themeColor="accent6"/>
          <w:szCs w:val="20"/>
          <w:lang w:val="de-DE"/>
        </w:rPr>
      </w:pPr>
    </w:p>
    <w:p w14:paraId="57FE55EF" w14:textId="3508B0BC" w:rsidR="00A31672" w:rsidRPr="00F121F8" w:rsidRDefault="00AA31AE" w:rsidP="00A31672">
      <w:pPr>
        <w:pStyle w:val="Kopfzeile"/>
        <w:jc w:val="both"/>
        <w:rPr>
          <w:rFonts w:ascii="Arial" w:hAnsi="Arial" w:cs="Arial"/>
          <w:color w:val="000000" w:themeColor="accent6"/>
          <w:szCs w:val="20"/>
          <w:lang w:val="de-DE"/>
        </w:rPr>
      </w:pPr>
      <w:r>
        <w:rPr>
          <w:rFonts w:ascii="Arial" w:hAnsi="Arial" w:cs="Arial"/>
          <w:color w:val="000000" w:themeColor="accent6"/>
          <w:szCs w:val="20"/>
          <w:lang w:val="de-DE"/>
        </w:rPr>
        <w:t>Auf Grund dieser wichtigen Schnitts</w:t>
      </w:r>
      <w:r w:rsidR="00836DB3">
        <w:rPr>
          <w:rFonts w:ascii="Arial" w:hAnsi="Arial" w:cs="Arial"/>
          <w:color w:val="000000" w:themeColor="accent6"/>
          <w:szCs w:val="20"/>
          <w:lang w:val="de-DE"/>
        </w:rPr>
        <w:t>tellenüberwachung wurde der AMB</w:t>
      </w:r>
      <w:r>
        <w:rPr>
          <w:rFonts w:ascii="Arial" w:hAnsi="Arial" w:cs="Arial"/>
          <w:color w:val="000000" w:themeColor="accent6"/>
          <w:szCs w:val="20"/>
          <w:lang w:val="de-DE"/>
        </w:rPr>
        <w:t xml:space="preserve">, zusätzlich mit der Führung der internen Beschwerdestelle beauftragt. Mit dieser Maßnahme wurde sichergestellt, dass eine Umsetzung der AGG konformen Arbeitsweise im Rahmen des aktiven AMS erfolgt. </w:t>
      </w:r>
      <w:r w:rsidR="00A31672" w:rsidRPr="00F121F8">
        <w:rPr>
          <w:rFonts w:ascii="Arial" w:hAnsi="Arial" w:cs="Arial"/>
          <w:color w:val="000000" w:themeColor="accent6"/>
          <w:szCs w:val="20"/>
          <w:lang w:val="de-DE"/>
        </w:rPr>
        <w:t>Der offiziell ernannte AMB wurde als Qualitäts- un</w:t>
      </w:r>
      <w:r>
        <w:rPr>
          <w:rFonts w:ascii="Arial" w:hAnsi="Arial" w:cs="Arial"/>
          <w:color w:val="000000" w:themeColor="accent6"/>
          <w:szCs w:val="20"/>
          <w:lang w:val="de-DE"/>
        </w:rPr>
        <w:t xml:space="preserve">d Unterstützungsorgan etabliert und gemäß §13 AGG </w:t>
      </w:r>
      <w:r w:rsidR="00836DB3">
        <w:rPr>
          <w:rFonts w:ascii="Arial" w:hAnsi="Arial" w:cs="Arial"/>
          <w:color w:val="000000" w:themeColor="accent6"/>
          <w:szCs w:val="20"/>
          <w:lang w:val="de-DE"/>
        </w:rPr>
        <w:t xml:space="preserve">schriftlich </w:t>
      </w:r>
      <w:r>
        <w:rPr>
          <w:rFonts w:ascii="Arial" w:hAnsi="Arial" w:cs="Arial"/>
          <w:color w:val="000000" w:themeColor="accent6"/>
          <w:szCs w:val="20"/>
          <w:lang w:val="de-DE"/>
        </w:rPr>
        <w:t xml:space="preserve">bestellt. </w:t>
      </w:r>
    </w:p>
    <w:p w14:paraId="7CB8F5F8" w14:textId="77777777" w:rsidR="00D631ED" w:rsidRPr="00F121F8" w:rsidRDefault="00D631ED" w:rsidP="00A31672">
      <w:pPr>
        <w:pStyle w:val="Kopfzeile"/>
        <w:jc w:val="both"/>
        <w:rPr>
          <w:rFonts w:ascii="Arial" w:hAnsi="Arial" w:cs="Arial"/>
          <w:color w:val="000000" w:themeColor="accent6"/>
          <w:szCs w:val="20"/>
          <w:lang w:val="de-DE"/>
        </w:rPr>
      </w:pPr>
    </w:p>
    <w:p w14:paraId="07FA22E4" w14:textId="33C389E8" w:rsidR="00D631ED" w:rsidRPr="007F7A21" w:rsidRDefault="00D631ED" w:rsidP="00D631ED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F121F8">
        <w:rPr>
          <w:rFonts w:ascii="Arial" w:hAnsi="Arial" w:cs="Arial"/>
          <w:color w:val="000000" w:themeColor="accent6"/>
          <w:szCs w:val="20"/>
          <w:lang w:val="de-DE"/>
        </w:rPr>
        <w:t xml:space="preserve">Die Einreichung von Beschwerden </w:t>
      </w:r>
      <w:r w:rsidR="00836DB3">
        <w:rPr>
          <w:rFonts w:ascii="Arial" w:hAnsi="Arial" w:cs="Arial"/>
          <w:color w:val="000000" w:themeColor="accent6"/>
          <w:szCs w:val="20"/>
          <w:lang w:val="de-DE"/>
        </w:rPr>
        <w:t xml:space="preserve">(siehe QZ 07, QZ 08) </w:t>
      </w:r>
      <w:r w:rsidRPr="00F121F8">
        <w:rPr>
          <w:rFonts w:ascii="Arial" w:hAnsi="Arial" w:cs="Arial"/>
          <w:color w:val="000000" w:themeColor="accent6"/>
          <w:szCs w:val="20"/>
          <w:lang w:val="de-DE"/>
        </w:rPr>
        <w:t xml:space="preserve">über die eingesetzte Arbeitnehmervertretung (AMB), löst die unmittelbare Übernahme der weitern, vertraulichen </w:t>
      </w:r>
      <w:r w:rsidR="00D56BE1" w:rsidRPr="00F121F8">
        <w:rPr>
          <w:rFonts w:ascii="Arial" w:hAnsi="Arial" w:cs="Arial"/>
          <w:color w:val="000000" w:themeColor="accent6"/>
          <w:szCs w:val="20"/>
          <w:lang w:val="de-DE"/>
        </w:rPr>
        <w:t xml:space="preserve">Schritte </w:t>
      </w:r>
      <w:r w:rsidRPr="007F7A21">
        <w:rPr>
          <w:rFonts w:ascii="Arial" w:hAnsi="Arial" w:cs="Arial"/>
          <w:szCs w:val="20"/>
          <w:lang w:val="de-DE"/>
        </w:rPr>
        <w:t xml:space="preserve">durch die </w:t>
      </w:r>
      <w:r w:rsidR="00AA31AE">
        <w:rPr>
          <w:rFonts w:ascii="Arial" w:hAnsi="Arial" w:cs="Arial"/>
          <w:szCs w:val="20"/>
          <w:lang w:val="de-DE"/>
        </w:rPr>
        <w:t>GF/</w:t>
      </w:r>
      <w:r w:rsidRPr="007F7A21">
        <w:rPr>
          <w:rFonts w:ascii="Arial" w:hAnsi="Arial" w:cs="Arial"/>
          <w:szCs w:val="20"/>
          <w:lang w:val="de-DE"/>
        </w:rPr>
        <w:t xml:space="preserve">GL aus. </w:t>
      </w:r>
    </w:p>
    <w:p w14:paraId="221942F2" w14:textId="77777777" w:rsidR="00D631ED" w:rsidRPr="007F7A21" w:rsidRDefault="00D631ED" w:rsidP="00D631ED">
      <w:pPr>
        <w:pStyle w:val="Kopfzeile"/>
        <w:jc w:val="both"/>
        <w:rPr>
          <w:rFonts w:ascii="Arial" w:hAnsi="Arial" w:cs="Arial"/>
          <w:sz w:val="18"/>
          <w:szCs w:val="18"/>
          <w:lang w:val="de-DE"/>
        </w:rPr>
      </w:pPr>
    </w:p>
    <w:p w14:paraId="1251C63B" w14:textId="77777777" w:rsidR="006752D7" w:rsidRDefault="00AA31AE" w:rsidP="00D631ED">
      <w:pPr>
        <w:pStyle w:val="Kopfzeile"/>
        <w:jc w:val="both"/>
        <w:rPr>
          <w:rFonts w:ascii="Arial" w:hAnsi="Arial" w:cs="Arial"/>
          <w:szCs w:val="20"/>
          <w:lang w:val="de-DE"/>
        </w:rPr>
      </w:pPr>
      <w:r>
        <w:rPr>
          <w:rFonts w:ascii="Arial" w:hAnsi="Arial" w:cs="Arial"/>
          <w:szCs w:val="20"/>
          <w:lang w:val="de-DE"/>
        </w:rPr>
        <w:t xml:space="preserve">Arbeitsunfälle und </w:t>
      </w:r>
      <w:r w:rsidR="00D631ED" w:rsidRPr="007F7A21">
        <w:rPr>
          <w:rFonts w:ascii="Arial" w:hAnsi="Arial" w:cs="Arial"/>
          <w:szCs w:val="20"/>
          <w:lang w:val="de-DE"/>
        </w:rPr>
        <w:t xml:space="preserve">Berufskrankheiten </w:t>
      </w:r>
      <w:r w:rsidR="00836DB3">
        <w:rPr>
          <w:rFonts w:ascii="Arial" w:hAnsi="Arial" w:cs="Arial"/>
          <w:szCs w:val="20"/>
          <w:lang w:val="de-DE"/>
        </w:rPr>
        <w:t xml:space="preserve">lösen keine Abweichungsberichte aus, diese Ereignisse </w:t>
      </w:r>
      <w:r w:rsidR="00D631ED" w:rsidRPr="007F7A21">
        <w:rPr>
          <w:rFonts w:ascii="Arial" w:hAnsi="Arial" w:cs="Arial"/>
          <w:szCs w:val="20"/>
          <w:lang w:val="de-DE"/>
        </w:rPr>
        <w:t>w</w:t>
      </w:r>
      <w:r>
        <w:rPr>
          <w:rFonts w:ascii="Arial" w:hAnsi="Arial" w:cs="Arial"/>
          <w:szCs w:val="20"/>
          <w:lang w:val="de-DE"/>
        </w:rPr>
        <w:t xml:space="preserve">erden </w:t>
      </w:r>
      <w:r w:rsidR="00836DB3">
        <w:rPr>
          <w:rFonts w:ascii="Arial" w:hAnsi="Arial" w:cs="Arial"/>
          <w:szCs w:val="20"/>
          <w:lang w:val="de-DE"/>
        </w:rPr>
        <w:t xml:space="preserve">in Abstimmung mit der </w:t>
      </w:r>
      <w:r>
        <w:rPr>
          <w:rFonts w:ascii="Arial" w:hAnsi="Arial" w:cs="Arial"/>
          <w:szCs w:val="20"/>
          <w:lang w:val="de-DE"/>
        </w:rPr>
        <w:t>GF/GL</w:t>
      </w:r>
      <w:r w:rsidR="00836DB3">
        <w:rPr>
          <w:rFonts w:ascii="Arial" w:hAnsi="Arial" w:cs="Arial"/>
          <w:szCs w:val="20"/>
          <w:lang w:val="de-DE"/>
        </w:rPr>
        <w:t xml:space="preserve"> und dem AMB</w:t>
      </w:r>
      <w:r w:rsidR="000058AA">
        <w:rPr>
          <w:rFonts w:ascii="Arial" w:hAnsi="Arial" w:cs="Arial"/>
          <w:szCs w:val="20"/>
          <w:lang w:val="de-DE"/>
        </w:rPr>
        <w:t xml:space="preserve"> bearbeitet. </w:t>
      </w:r>
    </w:p>
    <w:p w14:paraId="23BE27D5" w14:textId="77777777" w:rsidR="006752D7" w:rsidRDefault="006752D7" w:rsidP="00D631ED">
      <w:pPr>
        <w:pStyle w:val="Kopfzeile"/>
        <w:jc w:val="both"/>
        <w:rPr>
          <w:rFonts w:ascii="Arial" w:hAnsi="Arial" w:cs="Arial"/>
          <w:szCs w:val="20"/>
          <w:lang w:val="de-DE"/>
        </w:rPr>
      </w:pPr>
    </w:p>
    <w:p w14:paraId="10AC2ADC" w14:textId="77777777" w:rsidR="006752D7" w:rsidRDefault="000058AA" w:rsidP="00D631ED">
      <w:pPr>
        <w:pStyle w:val="Kopfzeile"/>
        <w:jc w:val="both"/>
        <w:rPr>
          <w:rFonts w:ascii="Arial" w:hAnsi="Arial" w:cs="Arial"/>
          <w:szCs w:val="20"/>
          <w:lang w:val="de-DE"/>
        </w:rPr>
      </w:pPr>
      <w:r>
        <w:rPr>
          <w:rFonts w:ascii="Arial" w:hAnsi="Arial" w:cs="Arial"/>
          <w:szCs w:val="20"/>
          <w:lang w:val="de-DE"/>
        </w:rPr>
        <w:t>D</w:t>
      </w:r>
      <w:r w:rsidR="00836DB3">
        <w:rPr>
          <w:rFonts w:ascii="Arial" w:hAnsi="Arial" w:cs="Arial"/>
          <w:szCs w:val="20"/>
          <w:lang w:val="de-DE"/>
        </w:rPr>
        <w:t xml:space="preserve">ie Sicherheitsfachkraft </w:t>
      </w:r>
      <w:r>
        <w:rPr>
          <w:rFonts w:ascii="Arial" w:hAnsi="Arial" w:cs="Arial"/>
          <w:szCs w:val="20"/>
          <w:lang w:val="de-DE"/>
        </w:rPr>
        <w:t xml:space="preserve">wurde beauftragt, Unfallereignisse zu analysieren </w:t>
      </w:r>
      <w:r w:rsidR="00836DB3" w:rsidRPr="007F7A21">
        <w:rPr>
          <w:rFonts w:ascii="Arial" w:hAnsi="Arial" w:cs="Arial"/>
          <w:szCs w:val="20"/>
          <w:lang w:val="de-DE"/>
        </w:rPr>
        <w:t>(siehe AA</w:t>
      </w:r>
      <w:r w:rsidR="00836DB3">
        <w:rPr>
          <w:rFonts w:ascii="Arial" w:hAnsi="Arial" w:cs="Arial"/>
          <w:szCs w:val="20"/>
          <w:lang w:val="de-DE"/>
        </w:rPr>
        <w:t> 10)</w:t>
      </w:r>
      <w:r>
        <w:rPr>
          <w:rFonts w:ascii="Arial" w:hAnsi="Arial" w:cs="Arial"/>
          <w:szCs w:val="20"/>
          <w:lang w:val="de-DE"/>
        </w:rPr>
        <w:t xml:space="preserve"> und bei Erkennung von möglichen Vermeidungsmaßnahmen, Lösungsvorschläge zu unterbreiten. </w:t>
      </w:r>
    </w:p>
    <w:p w14:paraId="49895C22" w14:textId="77777777" w:rsidR="006752D7" w:rsidRDefault="006752D7" w:rsidP="00D631ED">
      <w:pPr>
        <w:pStyle w:val="Kopfzeile"/>
        <w:jc w:val="both"/>
        <w:rPr>
          <w:rFonts w:ascii="Arial" w:hAnsi="Arial" w:cs="Arial"/>
          <w:szCs w:val="20"/>
          <w:lang w:val="de-DE"/>
        </w:rPr>
      </w:pPr>
    </w:p>
    <w:p w14:paraId="70366F8F" w14:textId="641F3169" w:rsidR="000058AA" w:rsidRDefault="000058AA" w:rsidP="00D631ED">
      <w:pPr>
        <w:pStyle w:val="Kopfzeile"/>
        <w:jc w:val="both"/>
        <w:rPr>
          <w:rFonts w:ascii="Arial" w:hAnsi="Arial" w:cs="Arial"/>
          <w:szCs w:val="20"/>
          <w:lang w:val="de-DE"/>
        </w:rPr>
      </w:pPr>
      <w:r>
        <w:rPr>
          <w:rFonts w:ascii="Arial" w:hAnsi="Arial" w:cs="Arial"/>
          <w:szCs w:val="20"/>
          <w:lang w:val="de-DE"/>
        </w:rPr>
        <w:t>Der Betriebsarzt wurde verpflichtet, bei Einreichungen von Berufskrankheitenmeldungen, die erforderlichen Analysen für die Feststellung von gültigen Rechts</w:t>
      </w:r>
      <w:r w:rsidR="006752D7">
        <w:rPr>
          <w:rFonts w:ascii="Arial" w:hAnsi="Arial" w:cs="Arial"/>
          <w:szCs w:val="20"/>
          <w:lang w:val="de-DE"/>
        </w:rPr>
        <w:t xml:space="preserve">ansprüchen von Dritten (aktive und ehemalige Mitarbeiter) anzufertigen. </w:t>
      </w:r>
      <w:r>
        <w:rPr>
          <w:rFonts w:ascii="Arial" w:hAnsi="Arial" w:cs="Arial"/>
          <w:szCs w:val="20"/>
          <w:lang w:val="de-DE"/>
        </w:rPr>
        <w:t xml:space="preserve">  </w:t>
      </w:r>
    </w:p>
    <w:p w14:paraId="7145DA9E" w14:textId="77777777" w:rsidR="0024798E" w:rsidRDefault="0024798E" w:rsidP="00D631ED">
      <w:pPr>
        <w:pStyle w:val="Kopfzeile"/>
        <w:jc w:val="both"/>
        <w:rPr>
          <w:rFonts w:ascii="Arial" w:hAnsi="Arial" w:cs="Arial"/>
          <w:szCs w:val="20"/>
          <w:lang w:val="de-DE"/>
        </w:rPr>
      </w:pPr>
    </w:p>
    <w:p w14:paraId="7E2725D7" w14:textId="77777777" w:rsidR="0024798E" w:rsidRPr="007F7A21" w:rsidRDefault="0024798E" w:rsidP="0024798E">
      <w:pPr>
        <w:pStyle w:val="Kopfzeile"/>
        <w:jc w:val="center"/>
        <w:rPr>
          <w:rFonts w:ascii="Arial" w:hAnsi="Arial" w:cs="Arial"/>
          <w:b/>
          <w:sz w:val="28"/>
          <w:szCs w:val="28"/>
        </w:rPr>
      </w:pPr>
      <w:r w:rsidRPr="007F7A21">
        <w:rPr>
          <w:rFonts w:ascii="Arial" w:hAnsi="Arial" w:cs="Arial"/>
          <w:b/>
          <w:sz w:val="28"/>
          <w:szCs w:val="28"/>
        </w:rPr>
        <w:t>Überwachungsanforderungen</w:t>
      </w:r>
    </w:p>
    <w:p w14:paraId="3EE3B43F" w14:textId="77777777" w:rsidR="0024798E" w:rsidRPr="007F7A21" w:rsidRDefault="0024798E" w:rsidP="0024798E">
      <w:pPr>
        <w:pStyle w:val="Kopfzeile"/>
        <w:jc w:val="both"/>
        <w:rPr>
          <w:rFonts w:ascii="Arial" w:hAnsi="Arial" w:cs="Arial"/>
          <w:sz w:val="12"/>
          <w:szCs w:val="12"/>
        </w:rPr>
      </w:pPr>
    </w:p>
    <w:p w14:paraId="4086BA91" w14:textId="023B5D0C" w:rsidR="0024798E" w:rsidRPr="007F7A21" w:rsidRDefault="00746292" w:rsidP="0024798E">
      <w:pPr>
        <w:numPr>
          <w:ilvl w:val="0"/>
          <w:numId w:val="5"/>
        </w:numPr>
        <w:ind w:left="0" w:firstLine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Festlegung</w:t>
      </w:r>
      <w:r w:rsidR="0024798E" w:rsidRPr="007F7A21">
        <w:rPr>
          <w:rFonts w:ascii="Arial" w:hAnsi="Arial" w:cs="Arial"/>
          <w:szCs w:val="20"/>
        </w:rPr>
        <w:t xml:space="preserve"> und Benennung der Überwachungarten </w:t>
      </w:r>
    </w:p>
    <w:p w14:paraId="0BB012D0" w14:textId="1A8B9AA0" w:rsidR="0024798E" w:rsidRPr="007F7A21" w:rsidRDefault="00746292" w:rsidP="0024798E">
      <w:pPr>
        <w:numPr>
          <w:ilvl w:val="0"/>
          <w:numId w:val="5"/>
        </w:numPr>
        <w:ind w:left="0" w:firstLine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Festlegung</w:t>
      </w:r>
      <w:r w:rsidR="0024798E" w:rsidRPr="007F7A21">
        <w:rPr>
          <w:rFonts w:ascii="Arial" w:hAnsi="Arial" w:cs="Arial"/>
          <w:szCs w:val="20"/>
        </w:rPr>
        <w:t xml:space="preserve"> und Benennung </w:t>
      </w:r>
      <w:r>
        <w:rPr>
          <w:rFonts w:ascii="Arial" w:hAnsi="Arial" w:cs="Arial"/>
          <w:szCs w:val="20"/>
        </w:rPr>
        <w:t xml:space="preserve">der </w:t>
      </w:r>
      <w:r w:rsidR="0024798E" w:rsidRPr="007F7A21">
        <w:rPr>
          <w:rFonts w:ascii="Arial" w:hAnsi="Arial" w:cs="Arial"/>
          <w:szCs w:val="20"/>
        </w:rPr>
        <w:t>Prüfbereiche</w:t>
      </w:r>
    </w:p>
    <w:p w14:paraId="7CCE69A2" w14:textId="7D1FCC3A" w:rsidR="0024798E" w:rsidRPr="007F7A21" w:rsidRDefault="00746292" w:rsidP="0024798E">
      <w:pPr>
        <w:numPr>
          <w:ilvl w:val="0"/>
          <w:numId w:val="6"/>
        </w:numPr>
        <w:ind w:left="0" w:firstLine="0"/>
        <w:jc w:val="both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Festlegung</w:t>
      </w:r>
      <w:proofErr w:type="spellEnd"/>
      <w:r w:rsidR="0024798E" w:rsidRPr="007F7A21">
        <w:rPr>
          <w:rFonts w:ascii="Arial" w:hAnsi="Arial" w:cs="Arial"/>
          <w:szCs w:val="20"/>
        </w:rPr>
        <w:t xml:space="preserve"> und </w:t>
      </w:r>
      <w:proofErr w:type="spellStart"/>
      <w:r w:rsidR="0024798E" w:rsidRPr="007F7A21">
        <w:rPr>
          <w:rFonts w:ascii="Arial" w:hAnsi="Arial" w:cs="Arial"/>
          <w:szCs w:val="20"/>
        </w:rPr>
        <w:t>Benennung</w:t>
      </w:r>
      <w:proofErr w:type="spellEnd"/>
      <w:r>
        <w:rPr>
          <w:rFonts w:ascii="Arial" w:hAnsi="Arial" w:cs="Arial"/>
          <w:szCs w:val="20"/>
        </w:rPr>
        <w:t xml:space="preserve"> von</w:t>
      </w:r>
      <w:r w:rsidR="0024798E" w:rsidRPr="007F7A21">
        <w:rPr>
          <w:rFonts w:ascii="Arial" w:hAnsi="Arial" w:cs="Arial"/>
          <w:szCs w:val="20"/>
        </w:rPr>
        <w:t xml:space="preserve"> </w:t>
      </w:r>
      <w:proofErr w:type="spellStart"/>
      <w:r w:rsidR="0024798E" w:rsidRPr="007F7A21">
        <w:rPr>
          <w:rFonts w:ascii="Arial" w:hAnsi="Arial" w:cs="Arial"/>
          <w:szCs w:val="20"/>
        </w:rPr>
        <w:t>Prüftermine</w:t>
      </w:r>
      <w:r>
        <w:rPr>
          <w:rFonts w:ascii="Arial" w:hAnsi="Arial" w:cs="Arial"/>
          <w:szCs w:val="20"/>
        </w:rPr>
        <w:t>n</w:t>
      </w:r>
      <w:proofErr w:type="spellEnd"/>
    </w:p>
    <w:p w14:paraId="15B77546" w14:textId="47039F6C" w:rsidR="0024798E" w:rsidRPr="007F7A21" w:rsidRDefault="00746292" w:rsidP="0024798E">
      <w:pPr>
        <w:numPr>
          <w:ilvl w:val="0"/>
          <w:numId w:val="6"/>
        </w:numPr>
        <w:ind w:left="0" w:firstLine="0"/>
        <w:jc w:val="both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Festlegung</w:t>
      </w:r>
      <w:proofErr w:type="spellEnd"/>
      <w:r w:rsidR="0024798E" w:rsidRPr="007F7A21">
        <w:rPr>
          <w:rFonts w:ascii="Arial" w:hAnsi="Arial" w:cs="Arial"/>
          <w:szCs w:val="20"/>
        </w:rPr>
        <w:t xml:space="preserve"> und </w:t>
      </w:r>
      <w:proofErr w:type="spellStart"/>
      <w:r w:rsidR="0024798E" w:rsidRPr="007F7A21">
        <w:rPr>
          <w:rFonts w:ascii="Arial" w:hAnsi="Arial" w:cs="Arial"/>
          <w:szCs w:val="20"/>
        </w:rPr>
        <w:t>Benennung</w:t>
      </w:r>
      <w:proofErr w:type="spellEnd"/>
      <w:r w:rsidR="0024798E" w:rsidRPr="007F7A21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von </w:t>
      </w:r>
      <w:proofErr w:type="spellStart"/>
      <w:r w:rsidR="0024798E" w:rsidRPr="007F7A21">
        <w:rPr>
          <w:rFonts w:ascii="Arial" w:hAnsi="Arial" w:cs="Arial"/>
          <w:szCs w:val="20"/>
        </w:rPr>
        <w:t>Umsetzungsbeauftragte</w:t>
      </w:r>
      <w:r>
        <w:rPr>
          <w:rFonts w:ascii="Arial" w:hAnsi="Arial" w:cs="Arial"/>
          <w:szCs w:val="20"/>
        </w:rPr>
        <w:t>n</w:t>
      </w:r>
      <w:proofErr w:type="spellEnd"/>
    </w:p>
    <w:p w14:paraId="3A1AB700" w14:textId="77777777" w:rsidR="0024798E" w:rsidRPr="007F7A21" w:rsidRDefault="0024798E" w:rsidP="0024798E">
      <w:pPr>
        <w:numPr>
          <w:ilvl w:val="0"/>
          <w:numId w:val="7"/>
        </w:numPr>
        <w:ind w:left="0" w:firstLine="0"/>
        <w:jc w:val="both"/>
        <w:rPr>
          <w:rFonts w:ascii="Arial" w:hAnsi="Arial" w:cs="Arial"/>
          <w:szCs w:val="20"/>
        </w:rPr>
      </w:pPr>
      <w:r w:rsidRPr="007F7A21">
        <w:rPr>
          <w:rFonts w:ascii="Arial" w:hAnsi="Arial" w:cs="Arial"/>
          <w:szCs w:val="20"/>
        </w:rPr>
        <w:t>Führung von Überwachungsaufzeichnungen</w:t>
      </w:r>
    </w:p>
    <w:p w14:paraId="2DEB5A29" w14:textId="7107DEBA" w:rsidR="0024798E" w:rsidRPr="007F7A21" w:rsidRDefault="0024798E" w:rsidP="0024798E">
      <w:pPr>
        <w:numPr>
          <w:ilvl w:val="0"/>
          <w:numId w:val="8"/>
        </w:numPr>
        <w:ind w:left="0" w:firstLine="0"/>
        <w:jc w:val="both"/>
        <w:rPr>
          <w:rFonts w:ascii="Arial" w:hAnsi="Arial" w:cs="Arial"/>
          <w:szCs w:val="20"/>
        </w:rPr>
      </w:pPr>
      <w:r w:rsidRPr="007F7A21">
        <w:rPr>
          <w:rFonts w:ascii="Arial" w:hAnsi="Arial" w:cs="Arial"/>
          <w:szCs w:val="20"/>
        </w:rPr>
        <w:t xml:space="preserve">Organisation und Sicherstellung </w:t>
      </w:r>
      <w:r w:rsidR="00746292">
        <w:rPr>
          <w:rFonts w:ascii="Arial" w:hAnsi="Arial" w:cs="Arial"/>
          <w:szCs w:val="20"/>
        </w:rPr>
        <w:t xml:space="preserve">der </w:t>
      </w:r>
      <w:r w:rsidRPr="007F7A21">
        <w:rPr>
          <w:rFonts w:ascii="Arial" w:hAnsi="Arial" w:cs="Arial"/>
          <w:szCs w:val="20"/>
        </w:rPr>
        <w:t xml:space="preserve">Rückverfolgbarkeit </w:t>
      </w:r>
    </w:p>
    <w:p w14:paraId="38EEA499" w14:textId="77777777" w:rsidR="0024798E" w:rsidRPr="007F7A21" w:rsidRDefault="0024798E" w:rsidP="0024798E">
      <w:pPr>
        <w:numPr>
          <w:ilvl w:val="0"/>
          <w:numId w:val="8"/>
        </w:numPr>
        <w:ind w:left="0" w:firstLine="0"/>
        <w:jc w:val="both"/>
        <w:rPr>
          <w:rFonts w:ascii="Arial" w:hAnsi="Arial" w:cs="Arial"/>
          <w:szCs w:val="20"/>
        </w:rPr>
      </w:pPr>
      <w:r w:rsidRPr="007F7A21">
        <w:rPr>
          <w:rFonts w:ascii="Arial" w:hAnsi="Arial" w:cs="Arial"/>
          <w:szCs w:val="20"/>
        </w:rPr>
        <w:t>Maßnahmenbenennung und Auswertungsverfahren</w:t>
      </w:r>
    </w:p>
    <w:p w14:paraId="6198F8B5" w14:textId="77777777" w:rsidR="004F30C5" w:rsidRDefault="004F30C5" w:rsidP="00D631ED">
      <w:pPr>
        <w:pStyle w:val="Kopfzeile"/>
        <w:jc w:val="both"/>
        <w:rPr>
          <w:rFonts w:ascii="Arial" w:hAnsi="Arial" w:cs="Arial"/>
          <w:szCs w:val="20"/>
          <w:lang w:val="de-DE"/>
        </w:rPr>
      </w:pPr>
    </w:p>
    <w:p w14:paraId="1BB779FD" w14:textId="77777777" w:rsidR="006752D7" w:rsidRPr="007F7A21" w:rsidRDefault="006752D7" w:rsidP="00D631ED">
      <w:pPr>
        <w:pStyle w:val="Kopfzeile"/>
        <w:jc w:val="both"/>
        <w:rPr>
          <w:rFonts w:ascii="Arial" w:hAnsi="Arial" w:cs="Arial"/>
          <w:szCs w:val="20"/>
          <w:lang w:val="de-DE"/>
        </w:rPr>
      </w:pPr>
    </w:p>
    <w:p w14:paraId="12B6B02D" w14:textId="77777777" w:rsidR="007504C9" w:rsidRPr="007F7A21" w:rsidRDefault="007504C9" w:rsidP="007504C9">
      <w:pPr>
        <w:jc w:val="both"/>
        <w:rPr>
          <w:rFonts w:ascii="Arial" w:hAnsi="Arial" w:cs="Arial"/>
          <w:sz w:val="12"/>
          <w:szCs w:val="12"/>
          <w:lang w:val="de-DE"/>
        </w:rPr>
      </w:pPr>
    </w:p>
    <w:p w14:paraId="05915A7C" w14:textId="77777777" w:rsidR="007504C9" w:rsidRPr="007F7A21" w:rsidRDefault="007504C9" w:rsidP="007504C9">
      <w:pPr>
        <w:pStyle w:val="Kopfzeile"/>
        <w:jc w:val="both"/>
        <w:rPr>
          <w:rFonts w:ascii="Arial" w:hAnsi="Arial" w:cs="Arial"/>
          <w:b/>
          <w:sz w:val="10"/>
          <w:szCs w:val="10"/>
          <w:lang w:val="de-D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2289"/>
        <w:gridCol w:w="2411"/>
        <w:gridCol w:w="2520"/>
      </w:tblGrid>
      <w:tr w:rsidR="007504C9" w:rsidRPr="007F7A21" w14:paraId="0BBB4A80" w14:textId="77777777" w:rsidTr="007F7A21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B9941" w14:textId="0E6A0671" w:rsidR="007504C9" w:rsidRPr="007F7A21" w:rsidRDefault="007504C9" w:rsidP="007504C9">
            <w:pPr>
              <w:pStyle w:val="Kopfzeile"/>
              <w:rPr>
                <w:rFonts w:ascii="Arial" w:hAnsi="Arial" w:cs="Arial"/>
                <w:b/>
                <w:bCs/>
                <w:lang w:val="de-DE"/>
              </w:rPr>
            </w:pPr>
            <w:r w:rsidRPr="007F7A21">
              <w:rPr>
                <w:rFonts w:ascii="Arial" w:hAnsi="Arial" w:cs="Arial"/>
                <w:b/>
                <w:bCs/>
                <w:lang w:val="de-DE"/>
              </w:rPr>
              <w:t xml:space="preserve">HB I 6.2 </w:t>
            </w:r>
            <w:r w:rsidR="006C28DC">
              <w:rPr>
                <w:rFonts w:ascii="Arial" w:hAnsi="Arial" w:cs="Arial"/>
                <w:b/>
                <w:lang w:val="de-DE"/>
              </w:rPr>
              <w:t>Seite 26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348DA" w14:textId="77777777" w:rsidR="007504C9" w:rsidRPr="007F7A21" w:rsidRDefault="007504C9" w:rsidP="00287453">
            <w:pPr>
              <w:pStyle w:val="Kopfzeile"/>
              <w:jc w:val="center"/>
              <w:rPr>
                <w:rFonts w:ascii="Arial" w:hAnsi="Arial" w:cs="Arial"/>
                <w:b/>
                <w:lang w:val="de-DE"/>
              </w:rPr>
            </w:pPr>
            <w:r w:rsidRPr="007F7A21">
              <w:rPr>
                <w:rFonts w:ascii="Arial" w:hAnsi="Arial" w:cs="Arial"/>
                <w:b/>
                <w:lang w:val="de-DE"/>
              </w:rPr>
              <w:t>Erstellung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E9EF4" w14:textId="6BFCAA97" w:rsidR="007504C9" w:rsidRPr="007F7A21" w:rsidRDefault="007504C9" w:rsidP="003920F5">
            <w:pPr>
              <w:pStyle w:val="Kopfzeile"/>
              <w:jc w:val="center"/>
              <w:rPr>
                <w:rFonts w:ascii="Arial" w:hAnsi="Arial" w:cs="Arial"/>
                <w:b/>
                <w:lang w:val="de-DE"/>
              </w:rPr>
            </w:pPr>
            <w:r w:rsidRPr="007F7A21">
              <w:rPr>
                <w:rFonts w:ascii="Arial" w:hAnsi="Arial" w:cs="Arial"/>
                <w:b/>
                <w:lang w:val="de-DE"/>
              </w:rPr>
              <w:t xml:space="preserve">Prüfung - Version </w:t>
            </w:r>
            <w:r w:rsidR="007F7A21">
              <w:rPr>
                <w:rFonts w:ascii="Arial" w:hAnsi="Arial" w:cs="Arial"/>
                <w:b/>
                <w:lang w:val="de-DE"/>
              </w:rPr>
              <w:t>1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49C42" w14:textId="77777777" w:rsidR="007504C9" w:rsidRPr="007F7A21" w:rsidRDefault="007504C9" w:rsidP="00287453">
            <w:pPr>
              <w:pStyle w:val="Kopfzeile"/>
              <w:jc w:val="center"/>
              <w:rPr>
                <w:rFonts w:ascii="Arial" w:hAnsi="Arial" w:cs="Arial"/>
                <w:b/>
                <w:lang w:val="de-DE"/>
              </w:rPr>
            </w:pPr>
            <w:r w:rsidRPr="007F7A21">
              <w:rPr>
                <w:rFonts w:ascii="Arial" w:hAnsi="Arial" w:cs="Arial"/>
                <w:b/>
                <w:lang w:val="de-DE"/>
              </w:rPr>
              <w:t xml:space="preserve">Genehmigung </w:t>
            </w:r>
          </w:p>
        </w:tc>
      </w:tr>
      <w:tr w:rsidR="004F30C5" w:rsidRPr="007F7A21" w14:paraId="21A7289A" w14:textId="77777777" w:rsidTr="007F7A21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5BEA8" w14:textId="77777777" w:rsidR="004F30C5" w:rsidRPr="007F7A21" w:rsidRDefault="004F30C5" w:rsidP="004F30C5">
            <w:pPr>
              <w:pStyle w:val="Kopfzeile"/>
              <w:rPr>
                <w:rFonts w:ascii="Arial" w:hAnsi="Arial" w:cs="Arial"/>
                <w:b/>
                <w:lang w:val="de-DE"/>
              </w:rPr>
            </w:pPr>
            <w:r w:rsidRPr="007F7A21">
              <w:rPr>
                <w:rFonts w:ascii="Arial" w:hAnsi="Arial" w:cs="Arial"/>
                <w:b/>
                <w:lang w:val="de-DE"/>
              </w:rPr>
              <w:t>Datum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008AC" w14:textId="46067738" w:rsidR="004F30C5" w:rsidRPr="007F7A21" w:rsidRDefault="004F30C5" w:rsidP="004F30C5">
            <w:pPr>
              <w:pStyle w:val="Kopfzeile"/>
              <w:jc w:val="center"/>
              <w:rPr>
                <w:rFonts w:ascii="Arial" w:hAnsi="Arial" w:cs="Arial"/>
                <w:lang w:val="de-DE"/>
              </w:rPr>
            </w:pPr>
            <w:r w:rsidRPr="005E2885">
              <w:t>01.04.2019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99FEE" w14:textId="253277A0" w:rsidR="004F30C5" w:rsidRPr="007F7A21" w:rsidRDefault="004F30C5" w:rsidP="004F30C5">
            <w:pPr>
              <w:pStyle w:val="Kopfzeile"/>
              <w:jc w:val="center"/>
              <w:rPr>
                <w:rFonts w:ascii="Arial" w:hAnsi="Arial" w:cs="Arial"/>
                <w:lang w:val="de-DE"/>
              </w:rPr>
            </w:pPr>
            <w:r w:rsidRPr="005E2885">
              <w:t>01.04.2019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92117" w14:textId="2A48A5FB" w:rsidR="004F30C5" w:rsidRPr="007F7A21" w:rsidRDefault="004F30C5" w:rsidP="004F30C5">
            <w:pPr>
              <w:pStyle w:val="Kopfzeile"/>
              <w:jc w:val="center"/>
              <w:rPr>
                <w:rFonts w:ascii="Arial" w:hAnsi="Arial" w:cs="Arial"/>
                <w:lang w:val="de-DE"/>
              </w:rPr>
            </w:pPr>
            <w:r w:rsidRPr="005E2885">
              <w:t>01.04.2019</w:t>
            </w:r>
          </w:p>
        </w:tc>
      </w:tr>
      <w:tr w:rsidR="004F30C5" w:rsidRPr="007F7A21" w14:paraId="4B369FDD" w14:textId="77777777" w:rsidTr="007F7A21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D6D18" w14:textId="77777777" w:rsidR="004F30C5" w:rsidRPr="007F7A21" w:rsidRDefault="004F30C5" w:rsidP="004F30C5">
            <w:pPr>
              <w:pStyle w:val="Kopfzeile"/>
              <w:rPr>
                <w:rFonts w:ascii="Arial" w:hAnsi="Arial" w:cs="Arial"/>
                <w:lang w:val="de-DE"/>
              </w:rPr>
            </w:pPr>
            <w:r w:rsidRPr="007F7A21">
              <w:rPr>
                <w:rFonts w:ascii="Arial" w:hAnsi="Arial" w:cs="Arial"/>
                <w:lang w:val="de-DE"/>
              </w:rPr>
              <w:t>Funktion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F00B1" w14:textId="66DDF2D5" w:rsidR="004F30C5" w:rsidRPr="007F7A21" w:rsidRDefault="004F30C5" w:rsidP="004F30C5">
            <w:pPr>
              <w:pStyle w:val="Kopfzeile"/>
              <w:jc w:val="center"/>
              <w:rPr>
                <w:rFonts w:ascii="Arial" w:hAnsi="Arial" w:cs="Arial"/>
                <w:lang w:val="de-DE"/>
              </w:rPr>
            </w:pPr>
            <w:r w:rsidRPr="005E2885">
              <w:t xml:space="preserve">Sifa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A7160" w14:textId="50A5C4EF" w:rsidR="004F30C5" w:rsidRPr="007F7A21" w:rsidRDefault="004F30C5" w:rsidP="004F30C5">
            <w:pPr>
              <w:pStyle w:val="Kopfzeile"/>
              <w:jc w:val="center"/>
              <w:rPr>
                <w:rFonts w:ascii="Arial" w:hAnsi="Arial" w:cs="Arial"/>
                <w:lang w:val="de-DE"/>
              </w:rPr>
            </w:pPr>
            <w:r w:rsidRPr="005E2885">
              <w:t>AMB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C3915" w14:textId="0EC68155" w:rsidR="004F30C5" w:rsidRPr="007F7A21" w:rsidRDefault="004F30C5" w:rsidP="004F30C5">
            <w:pPr>
              <w:pStyle w:val="Kopfzeile"/>
              <w:jc w:val="center"/>
              <w:rPr>
                <w:rFonts w:ascii="Arial" w:hAnsi="Arial" w:cs="Arial"/>
                <w:lang w:val="de-DE"/>
              </w:rPr>
            </w:pPr>
            <w:r w:rsidRPr="005E2885">
              <w:t>GF</w:t>
            </w:r>
          </w:p>
        </w:tc>
      </w:tr>
      <w:tr w:rsidR="00336383" w14:paraId="08E62251" w14:textId="77777777" w:rsidTr="00336383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349CF" w14:textId="777E8EE7" w:rsidR="00336383" w:rsidRPr="00336383" w:rsidRDefault="00336383" w:rsidP="00336383">
            <w:pPr>
              <w:pStyle w:val="Kopfzeile"/>
              <w:rPr>
                <w:rFonts w:ascii="Arial" w:hAnsi="Arial" w:cs="Arial"/>
                <w:lang w:val="de-DE"/>
              </w:rPr>
            </w:pPr>
            <w:r w:rsidRPr="00336383">
              <w:rPr>
                <w:rFonts w:ascii="Arial" w:hAnsi="Arial" w:cs="Arial"/>
                <w:noProof/>
                <w:lang w:val="de-DE"/>
              </w:rPr>
              <w:drawing>
                <wp:anchor distT="0" distB="0" distL="114300" distR="114300" simplePos="0" relativeHeight="251664384" behindDoc="1" locked="0" layoutInCell="1" allowOverlap="1" wp14:anchorId="5767DED1" wp14:editId="6F50529F">
                  <wp:simplePos x="0" y="0"/>
                  <wp:positionH relativeFrom="column">
                    <wp:posOffset>932815</wp:posOffset>
                  </wp:positionH>
                  <wp:positionV relativeFrom="paragraph">
                    <wp:posOffset>3175</wp:posOffset>
                  </wp:positionV>
                  <wp:extent cx="1591310" cy="683895"/>
                  <wp:effectExtent l="0" t="0" r="8890" b="1905"/>
                  <wp:wrapNone/>
                  <wp:docPr id="6" name="Grafik 6" descr="A. Bertram Unterschr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. Bertram Unterschr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683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6383">
              <w:rPr>
                <w:rFonts w:ascii="Arial" w:hAnsi="Arial" w:cs="Arial"/>
                <w:lang w:val="de-DE"/>
              </w:rPr>
              <w:t>Unterschrift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34C10" w14:textId="77777777" w:rsidR="00336383" w:rsidRPr="00336383" w:rsidRDefault="00336383" w:rsidP="00336383">
            <w:pPr>
              <w:pStyle w:val="Kopfzeile"/>
              <w:jc w:val="center"/>
            </w:pPr>
          </w:p>
          <w:p w14:paraId="7DD9CEAF" w14:textId="77777777" w:rsidR="00336383" w:rsidRPr="00336383" w:rsidRDefault="00336383" w:rsidP="00336383">
            <w:pPr>
              <w:pStyle w:val="Kopfzeile"/>
              <w:jc w:val="center"/>
            </w:pPr>
          </w:p>
          <w:p w14:paraId="27DB1DB7" w14:textId="77777777" w:rsidR="00336383" w:rsidRPr="00336383" w:rsidRDefault="00336383" w:rsidP="00336383">
            <w:pPr>
              <w:pStyle w:val="Kopfzeile"/>
              <w:jc w:val="center"/>
            </w:pPr>
          </w:p>
          <w:p w14:paraId="1C0FBEFD" w14:textId="77777777" w:rsidR="00336383" w:rsidRPr="00336383" w:rsidRDefault="00336383" w:rsidP="00336383">
            <w:pPr>
              <w:pStyle w:val="Kopfzeile"/>
              <w:jc w:val="center"/>
            </w:pP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AAA8" w14:textId="0C39A2D4" w:rsidR="00336383" w:rsidRPr="00336383" w:rsidRDefault="00336383" w:rsidP="00336383">
            <w:pPr>
              <w:pStyle w:val="Kopfzeile"/>
              <w:jc w:val="center"/>
            </w:pPr>
            <w:r w:rsidRPr="00336383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6DBE64C" wp14:editId="4A2BC537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107950</wp:posOffset>
                  </wp:positionV>
                  <wp:extent cx="1675765" cy="534670"/>
                  <wp:effectExtent l="0" t="0" r="635" b="0"/>
                  <wp:wrapNone/>
                  <wp:docPr id="5" name="Grafik 5" descr="R. Geißlinger - Signa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. Geißlinger - Signa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765" cy="534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6383">
              <w:t xml:space="preserve"> </w:t>
            </w:r>
          </w:p>
          <w:p w14:paraId="6A85B217" w14:textId="77777777" w:rsidR="00336383" w:rsidRPr="00336383" w:rsidRDefault="00336383" w:rsidP="00336383">
            <w:pPr>
              <w:pStyle w:val="Kopfzeile"/>
              <w:jc w:val="center"/>
            </w:pPr>
          </w:p>
          <w:p w14:paraId="260E0C00" w14:textId="77777777" w:rsidR="00336383" w:rsidRPr="00336383" w:rsidRDefault="00336383" w:rsidP="00336383">
            <w:pPr>
              <w:pStyle w:val="Kopfzeile"/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F2835" w14:textId="126D31EA" w:rsidR="00336383" w:rsidRPr="00336383" w:rsidRDefault="00336383" w:rsidP="00336383">
            <w:pPr>
              <w:pStyle w:val="Kopfzeile"/>
              <w:jc w:val="center"/>
            </w:pPr>
            <w:r w:rsidRPr="00336383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D1EBA70" wp14:editId="2AAA4644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-63500</wp:posOffset>
                  </wp:positionV>
                  <wp:extent cx="1219200" cy="571500"/>
                  <wp:effectExtent l="0" t="0" r="0" b="0"/>
                  <wp:wrapNone/>
                  <wp:docPr id="4" name="Grafik 4" descr="P.Geisslinger Signa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.Geisslinger Signa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13539A4" w14:textId="77777777" w:rsidR="00D631ED" w:rsidRPr="007F7A21" w:rsidRDefault="00D631ED" w:rsidP="00540A13">
      <w:pPr>
        <w:jc w:val="both"/>
        <w:rPr>
          <w:rFonts w:ascii="Arial" w:hAnsi="Arial" w:cs="Arial"/>
          <w:sz w:val="2"/>
          <w:szCs w:val="20"/>
        </w:rPr>
      </w:pPr>
    </w:p>
    <w:sectPr w:rsidR="00D631ED" w:rsidRPr="007F7A21" w:rsidSect="007F7A21">
      <w:footerReference w:type="default" r:id="rId15"/>
      <w:pgSz w:w="11907" w:h="16840" w:code="9"/>
      <w:pgMar w:top="1417" w:right="1417" w:bottom="709" w:left="141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053C" w14:textId="77777777" w:rsidR="006E08A3" w:rsidRDefault="006E08A3" w:rsidP="0049083A">
      <w:r>
        <w:separator/>
      </w:r>
    </w:p>
  </w:endnote>
  <w:endnote w:type="continuationSeparator" w:id="0">
    <w:p w14:paraId="5B47514A" w14:textId="77777777" w:rsidR="006E08A3" w:rsidRDefault="006E08A3" w:rsidP="0049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42753" w14:textId="0E4B1F85" w:rsidR="00B87A21" w:rsidRPr="0024798E" w:rsidRDefault="00B87A21" w:rsidP="00B87A21">
    <w:pPr>
      <w:pStyle w:val="Fuzeile"/>
      <w:jc w:val="center"/>
      <w:rPr>
        <w:rFonts w:ascii="Arial" w:hAnsi="Arial" w:cs="Arial"/>
        <w:b/>
        <w:sz w:val="16"/>
        <w:szCs w:val="16"/>
        <w:lang w:val="de-DE"/>
      </w:rPr>
    </w:pPr>
    <w:r w:rsidRPr="0024798E">
      <w:rPr>
        <w:rFonts w:ascii="Arial" w:hAnsi="Arial" w:cs="Arial"/>
        <w:b/>
        <w:sz w:val="16"/>
        <w:szCs w:val="16"/>
        <w:lang w:val="de-DE"/>
      </w:rPr>
      <w:t>PELE Personaldienstleistungen GmbH &amp; Co. KG / Schießgrabenstraße 14 / 86150 Augsburg / Telefon 0821-313100                         Mail: info@pele.de / Internet: www.pele.de / Geschäftsführung - Peter Geißlinger / HRA 12 075</w:t>
    </w:r>
  </w:p>
  <w:p w14:paraId="4BA1EF1F" w14:textId="1F97384E" w:rsidR="00C32902" w:rsidRPr="002B308D" w:rsidRDefault="00545725" w:rsidP="002B308D">
    <w:pPr>
      <w:pStyle w:val="Fuzeile"/>
      <w:ind w:left="-993"/>
      <w:rPr>
        <w:lang w:val="fr-FR"/>
      </w:rPr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4BA1EF22" wp14:editId="4FF77342">
          <wp:simplePos x="0" y="0"/>
          <wp:positionH relativeFrom="column">
            <wp:posOffset>-920750</wp:posOffset>
          </wp:positionH>
          <wp:positionV relativeFrom="paragraph">
            <wp:posOffset>-2376805</wp:posOffset>
          </wp:positionV>
          <wp:extent cx="2918460" cy="2633345"/>
          <wp:effectExtent l="0" t="0" r="0" b="0"/>
          <wp:wrapNone/>
          <wp:docPr id="7" name="Image 3" descr="http://mi-gsogroup/comm/Charte%20graphique/Compass%20Hig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mi-gsogroup/comm/Charte%20graphique/Compass%20High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032" r="-191" b="34899"/>
                  <a:stretch/>
                </pic:blipFill>
                <pic:spPr bwMode="auto">
                  <a:xfrm>
                    <a:off x="0" y="0"/>
                    <a:ext cx="2918460" cy="2633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0910B" w14:textId="77777777" w:rsidR="006E08A3" w:rsidRDefault="006E08A3" w:rsidP="0049083A">
      <w:r>
        <w:separator/>
      </w:r>
    </w:p>
  </w:footnote>
  <w:footnote w:type="continuationSeparator" w:id="0">
    <w:p w14:paraId="4C84A234" w14:textId="77777777" w:rsidR="006E08A3" w:rsidRDefault="006E08A3" w:rsidP="00490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21301_"/>
      </v:shape>
    </w:pict>
  </w:numPicBullet>
  <w:abstractNum w:abstractNumId="0" w15:restartNumberingAfterBreak="0">
    <w:nsid w:val="052227C8"/>
    <w:multiLevelType w:val="hybridMultilevel"/>
    <w:tmpl w:val="9E906278"/>
    <w:lvl w:ilvl="0" w:tplc="108C39E2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222A35"/>
    <w:multiLevelType w:val="hybridMultilevel"/>
    <w:tmpl w:val="A752739E"/>
    <w:lvl w:ilvl="0" w:tplc="E10AD0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AC1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9879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3847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407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D453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764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DE0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6272E30"/>
    <w:multiLevelType w:val="hybridMultilevel"/>
    <w:tmpl w:val="25C45E10"/>
    <w:lvl w:ilvl="0" w:tplc="E92270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968A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7428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90D9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9AE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C1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CAA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E6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DABC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6EC30D3"/>
    <w:multiLevelType w:val="multilevel"/>
    <w:tmpl w:val="0409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9F0769E"/>
    <w:multiLevelType w:val="hybridMultilevel"/>
    <w:tmpl w:val="C63A2B90"/>
    <w:lvl w:ilvl="0" w:tplc="B33EF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24F0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328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0678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22D3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9E47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CE57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C892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8A17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B9D60A8"/>
    <w:multiLevelType w:val="hybridMultilevel"/>
    <w:tmpl w:val="D51C555E"/>
    <w:lvl w:ilvl="0" w:tplc="62E0AC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7814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DA01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50F7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E6BE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CCAE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189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6A61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D478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45779E5"/>
    <w:multiLevelType w:val="hybridMultilevel"/>
    <w:tmpl w:val="34C25B24"/>
    <w:lvl w:ilvl="0" w:tplc="A866046C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9A6ACB"/>
    <w:multiLevelType w:val="hybridMultilevel"/>
    <w:tmpl w:val="5DB2D86C"/>
    <w:lvl w:ilvl="0" w:tplc="F936262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732598">
    <w:abstractNumId w:val="3"/>
  </w:num>
  <w:num w:numId="2" w16cid:durableId="2046558921">
    <w:abstractNumId w:val="0"/>
  </w:num>
  <w:num w:numId="3" w16cid:durableId="1915510442">
    <w:abstractNumId w:val="7"/>
  </w:num>
  <w:num w:numId="4" w16cid:durableId="888341980">
    <w:abstractNumId w:val="6"/>
  </w:num>
  <w:num w:numId="5" w16cid:durableId="326251675">
    <w:abstractNumId w:val="1"/>
  </w:num>
  <w:num w:numId="6" w16cid:durableId="1131823935">
    <w:abstractNumId w:val="4"/>
  </w:num>
  <w:num w:numId="7" w16cid:durableId="1774518416">
    <w:abstractNumId w:val="2"/>
  </w:num>
  <w:num w:numId="8" w16cid:durableId="10479944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2D"/>
    <w:rsid w:val="000058AA"/>
    <w:rsid w:val="00013933"/>
    <w:rsid w:val="00014010"/>
    <w:rsid w:val="00021E09"/>
    <w:rsid w:val="00022578"/>
    <w:rsid w:val="00040044"/>
    <w:rsid w:val="00057D47"/>
    <w:rsid w:val="000C1413"/>
    <w:rsid w:val="000C3654"/>
    <w:rsid w:val="000D5571"/>
    <w:rsid w:val="000F26D2"/>
    <w:rsid w:val="00105290"/>
    <w:rsid w:val="001106CD"/>
    <w:rsid w:val="001351EF"/>
    <w:rsid w:val="00150779"/>
    <w:rsid w:val="001576B4"/>
    <w:rsid w:val="00164F58"/>
    <w:rsid w:val="001B098D"/>
    <w:rsid w:val="001B0C09"/>
    <w:rsid w:val="00201AAD"/>
    <w:rsid w:val="0021735D"/>
    <w:rsid w:val="002378AE"/>
    <w:rsid w:val="0024798E"/>
    <w:rsid w:val="00295FF4"/>
    <w:rsid w:val="002B24B7"/>
    <w:rsid w:val="002B25F9"/>
    <w:rsid w:val="002B308D"/>
    <w:rsid w:val="002C6DC8"/>
    <w:rsid w:val="002E2909"/>
    <w:rsid w:val="002F161E"/>
    <w:rsid w:val="003014BE"/>
    <w:rsid w:val="003360E1"/>
    <w:rsid w:val="00336383"/>
    <w:rsid w:val="0034374B"/>
    <w:rsid w:val="003920F5"/>
    <w:rsid w:val="003B1CA6"/>
    <w:rsid w:val="003C50A7"/>
    <w:rsid w:val="003D051E"/>
    <w:rsid w:val="00404BE3"/>
    <w:rsid w:val="00407AB4"/>
    <w:rsid w:val="00410776"/>
    <w:rsid w:val="0041135C"/>
    <w:rsid w:val="00445749"/>
    <w:rsid w:val="004641B5"/>
    <w:rsid w:val="00464F1C"/>
    <w:rsid w:val="0047447C"/>
    <w:rsid w:val="004758AB"/>
    <w:rsid w:val="004763E6"/>
    <w:rsid w:val="00477743"/>
    <w:rsid w:val="00485DC2"/>
    <w:rsid w:val="0049083A"/>
    <w:rsid w:val="004913C1"/>
    <w:rsid w:val="004B2A65"/>
    <w:rsid w:val="004E5976"/>
    <w:rsid w:val="004F040C"/>
    <w:rsid w:val="004F30C5"/>
    <w:rsid w:val="00521CEE"/>
    <w:rsid w:val="00540A13"/>
    <w:rsid w:val="00545725"/>
    <w:rsid w:val="00554351"/>
    <w:rsid w:val="00566858"/>
    <w:rsid w:val="00571BFF"/>
    <w:rsid w:val="005865AA"/>
    <w:rsid w:val="00595218"/>
    <w:rsid w:val="005A3BD4"/>
    <w:rsid w:val="005A5049"/>
    <w:rsid w:val="005B5F1B"/>
    <w:rsid w:val="005C1C17"/>
    <w:rsid w:val="005E4456"/>
    <w:rsid w:val="005E4C24"/>
    <w:rsid w:val="00615B17"/>
    <w:rsid w:val="006316CA"/>
    <w:rsid w:val="00641F41"/>
    <w:rsid w:val="006548E3"/>
    <w:rsid w:val="006752D7"/>
    <w:rsid w:val="0069076D"/>
    <w:rsid w:val="00694541"/>
    <w:rsid w:val="006C28DC"/>
    <w:rsid w:val="006C41D8"/>
    <w:rsid w:val="006E08A3"/>
    <w:rsid w:val="006E5676"/>
    <w:rsid w:val="00706E8F"/>
    <w:rsid w:val="007260FC"/>
    <w:rsid w:val="00746292"/>
    <w:rsid w:val="007504C9"/>
    <w:rsid w:val="00752753"/>
    <w:rsid w:val="00755494"/>
    <w:rsid w:val="00755706"/>
    <w:rsid w:val="0076771B"/>
    <w:rsid w:val="00780608"/>
    <w:rsid w:val="0078550A"/>
    <w:rsid w:val="00792F9C"/>
    <w:rsid w:val="007965BD"/>
    <w:rsid w:val="007A1BF6"/>
    <w:rsid w:val="007A490C"/>
    <w:rsid w:val="007A571B"/>
    <w:rsid w:val="007A5DFF"/>
    <w:rsid w:val="007B3D66"/>
    <w:rsid w:val="007D1F4C"/>
    <w:rsid w:val="007E1AAA"/>
    <w:rsid w:val="007E20FC"/>
    <w:rsid w:val="007F7A21"/>
    <w:rsid w:val="00814D0A"/>
    <w:rsid w:val="00836DB3"/>
    <w:rsid w:val="0084535A"/>
    <w:rsid w:val="00864FFD"/>
    <w:rsid w:val="00870313"/>
    <w:rsid w:val="00894CCE"/>
    <w:rsid w:val="008B7DFD"/>
    <w:rsid w:val="008C3910"/>
    <w:rsid w:val="008E4F51"/>
    <w:rsid w:val="0090442A"/>
    <w:rsid w:val="00911DED"/>
    <w:rsid w:val="00913187"/>
    <w:rsid w:val="00913368"/>
    <w:rsid w:val="0091687A"/>
    <w:rsid w:val="0092361E"/>
    <w:rsid w:val="009556F7"/>
    <w:rsid w:val="00955FB7"/>
    <w:rsid w:val="009B2579"/>
    <w:rsid w:val="009C6722"/>
    <w:rsid w:val="009F0232"/>
    <w:rsid w:val="00A11CF8"/>
    <w:rsid w:val="00A31672"/>
    <w:rsid w:val="00A3443C"/>
    <w:rsid w:val="00A40873"/>
    <w:rsid w:val="00A84D4A"/>
    <w:rsid w:val="00AA1683"/>
    <w:rsid w:val="00AA31AE"/>
    <w:rsid w:val="00AA6B0C"/>
    <w:rsid w:val="00AB2CC1"/>
    <w:rsid w:val="00AD51C4"/>
    <w:rsid w:val="00B00215"/>
    <w:rsid w:val="00B114BC"/>
    <w:rsid w:val="00B34E2D"/>
    <w:rsid w:val="00B64F63"/>
    <w:rsid w:val="00B669A2"/>
    <w:rsid w:val="00B67557"/>
    <w:rsid w:val="00B7171C"/>
    <w:rsid w:val="00B82BA7"/>
    <w:rsid w:val="00B87A21"/>
    <w:rsid w:val="00B90772"/>
    <w:rsid w:val="00B9419C"/>
    <w:rsid w:val="00BA1A74"/>
    <w:rsid w:val="00BB2838"/>
    <w:rsid w:val="00BB39B7"/>
    <w:rsid w:val="00C03712"/>
    <w:rsid w:val="00C2375C"/>
    <w:rsid w:val="00C254B0"/>
    <w:rsid w:val="00C32902"/>
    <w:rsid w:val="00C42371"/>
    <w:rsid w:val="00C5789D"/>
    <w:rsid w:val="00C768F5"/>
    <w:rsid w:val="00C810D1"/>
    <w:rsid w:val="00C929CE"/>
    <w:rsid w:val="00CC3699"/>
    <w:rsid w:val="00CC6958"/>
    <w:rsid w:val="00CD2909"/>
    <w:rsid w:val="00CD7DC9"/>
    <w:rsid w:val="00CF01F3"/>
    <w:rsid w:val="00CF57ED"/>
    <w:rsid w:val="00D101CB"/>
    <w:rsid w:val="00D10E4D"/>
    <w:rsid w:val="00D11A48"/>
    <w:rsid w:val="00D40E20"/>
    <w:rsid w:val="00D50A14"/>
    <w:rsid w:val="00D54043"/>
    <w:rsid w:val="00D56BE1"/>
    <w:rsid w:val="00D631ED"/>
    <w:rsid w:val="00D80A85"/>
    <w:rsid w:val="00D9641C"/>
    <w:rsid w:val="00DE1F53"/>
    <w:rsid w:val="00DF6900"/>
    <w:rsid w:val="00E149B7"/>
    <w:rsid w:val="00E1569E"/>
    <w:rsid w:val="00E26C0B"/>
    <w:rsid w:val="00E93309"/>
    <w:rsid w:val="00E93319"/>
    <w:rsid w:val="00EB47EE"/>
    <w:rsid w:val="00EB61B2"/>
    <w:rsid w:val="00EF459A"/>
    <w:rsid w:val="00F121F8"/>
    <w:rsid w:val="00F33E61"/>
    <w:rsid w:val="00F47016"/>
    <w:rsid w:val="00F5308B"/>
    <w:rsid w:val="00F82B29"/>
    <w:rsid w:val="00FB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1EF0F"/>
  <w15:docId w15:val="{41710E81-5AE4-4D34-8C63-962E7E41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260FC"/>
    <w:pPr>
      <w:keepNext/>
      <w:keepLines/>
      <w:numPr>
        <w:numId w:val="1"/>
      </w:numPr>
      <w:pBdr>
        <w:bottom w:val="single" w:sz="6" w:space="1" w:color="0062A2" w:themeColor="text2"/>
      </w:pBdr>
      <w:spacing w:before="480" w:line="360" w:lineRule="auto"/>
      <w:outlineLvl w:val="0"/>
    </w:pPr>
    <w:rPr>
      <w:rFonts w:eastAsiaTheme="majorEastAsia" w:cstheme="majorBidi"/>
      <w:b/>
      <w:bCs/>
      <w:color w:val="0062A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60FC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color w:val="666666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60FC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i/>
      <w:color w:val="A6A6A6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7A5DF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04BE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0305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4BE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05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04BE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97979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04BE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797979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04BE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97979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rsid w:val="004E5976"/>
    <w:pPr>
      <w:pBdr>
        <w:bottom w:val="single" w:sz="8" w:space="4" w:color="0062A2" w:themeColor="accent1"/>
      </w:pBdr>
      <w:spacing w:after="300"/>
      <w:contextualSpacing/>
    </w:pPr>
    <w:rPr>
      <w:rFonts w:asciiTheme="majorHAnsi" w:eastAsiaTheme="majorEastAsia" w:hAnsiTheme="majorHAnsi" w:cstheme="majorBidi"/>
      <w:color w:val="004979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5976"/>
    <w:rPr>
      <w:rFonts w:asciiTheme="majorHAnsi" w:eastAsiaTheme="majorEastAsia" w:hAnsiTheme="majorHAnsi" w:cstheme="majorBidi"/>
      <w:color w:val="004979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60FC"/>
    <w:rPr>
      <w:rFonts w:eastAsiaTheme="majorEastAsia" w:cstheme="majorBidi"/>
      <w:b/>
      <w:bCs/>
      <w:color w:val="0062A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60FC"/>
    <w:rPr>
      <w:rFonts w:eastAsiaTheme="majorEastAsia" w:cstheme="majorBidi"/>
      <w:b/>
      <w:bCs/>
      <w:color w:val="666666"/>
      <w:sz w:val="28"/>
      <w:szCs w:val="26"/>
    </w:rPr>
  </w:style>
  <w:style w:type="table" w:styleId="Tabellenraster">
    <w:name w:val="Table Grid"/>
    <w:basedOn w:val="NormaleTabelle"/>
    <w:uiPriority w:val="59"/>
    <w:rsid w:val="00490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8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83A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rsid w:val="004E5976"/>
    <w:pPr>
      <w:numPr>
        <w:ilvl w:val="1"/>
      </w:numPr>
    </w:pPr>
    <w:rPr>
      <w:rFonts w:asciiTheme="majorHAnsi" w:eastAsiaTheme="majorEastAsia" w:hAnsiTheme="majorHAnsi" w:cstheme="majorBidi"/>
      <w:i/>
      <w:iCs/>
      <w:color w:val="0062A2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5976"/>
    <w:rPr>
      <w:rFonts w:asciiTheme="majorHAnsi" w:eastAsiaTheme="majorEastAsia" w:hAnsiTheme="majorHAnsi" w:cstheme="majorBidi"/>
      <w:i/>
      <w:iCs/>
      <w:color w:val="0062A2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E597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E5976"/>
    <w:pPr>
      <w:spacing w:after="100"/>
      <w:ind w:left="200"/>
    </w:pPr>
  </w:style>
  <w:style w:type="character" w:styleId="Hyperlink">
    <w:name w:val="Hyperlink"/>
    <w:basedOn w:val="Absatz-Standardschriftart"/>
    <w:uiPriority w:val="99"/>
    <w:unhideWhenUsed/>
    <w:rsid w:val="004E5976"/>
    <w:rPr>
      <w:color w:val="00A9D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60FC"/>
    <w:rPr>
      <w:rFonts w:eastAsiaTheme="majorEastAsia" w:cstheme="majorBidi"/>
      <w:b/>
      <w:bCs/>
      <w:i/>
      <w:color w:val="A6A6A6"/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7260FC"/>
    <w:pPr>
      <w:spacing w:after="100"/>
      <w:ind w:left="400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A5DFF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04BE3"/>
    <w:rPr>
      <w:rFonts w:asciiTheme="majorHAnsi" w:eastAsiaTheme="majorEastAsia" w:hAnsiTheme="majorHAnsi" w:cstheme="majorBidi"/>
      <w:color w:val="00305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4BE3"/>
    <w:rPr>
      <w:rFonts w:asciiTheme="majorHAnsi" w:eastAsiaTheme="majorEastAsia" w:hAnsiTheme="majorHAnsi" w:cstheme="majorBidi"/>
      <w:i/>
      <w:iCs/>
      <w:color w:val="00305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04BE3"/>
    <w:rPr>
      <w:rFonts w:asciiTheme="majorHAnsi" w:eastAsiaTheme="majorEastAsia" w:hAnsiTheme="majorHAnsi" w:cstheme="majorBidi"/>
      <w:i/>
      <w:iCs/>
      <w:color w:val="797979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04BE3"/>
    <w:rPr>
      <w:rFonts w:asciiTheme="majorHAnsi" w:eastAsiaTheme="majorEastAsia" w:hAnsiTheme="majorHAnsi" w:cstheme="majorBidi"/>
      <w:color w:val="797979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04BE3"/>
    <w:rPr>
      <w:rFonts w:asciiTheme="majorHAnsi" w:eastAsiaTheme="majorEastAsia" w:hAnsiTheme="majorHAnsi" w:cstheme="majorBidi"/>
      <w:i/>
      <w:iCs/>
      <w:color w:val="797979" w:themeColor="text1" w:themeTint="BF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B2579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2579"/>
  </w:style>
  <w:style w:type="paragraph" w:styleId="Fuzeile">
    <w:name w:val="footer"/>
    <w:basedOn w:val="Standard"/>
    <w:link w:val="FuzeileZchn"/>
    <w:uiPriority w:val="99"/>
    <w:unhideWhenUsed/>
    <w:rsid w:val="009B2579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2579"/>
  </w:style>
  <w:style w:type="paragraph" w:styleId="StandardWeb">
    <w:name w:val="Normal (Web)"/>
    <w:basedOn w:val="Standard"/>
    <w:uiPriority w:val="99"/>
    <w:unhideWhenUsed/>
    <w:rsid w:val="00F470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ext101">
    <w:name w:val="text101"/>
    <w:basedOn w:val="Absatz-Standardschriftart"/>
    <w:rsid w:val="00EB61B2"/>
  </w:style>
  <w:style w:type="paragraph" w:styleId="Listenabsatz">
    <w:name w:val="List Paragraph"/>
    <w:basedOn w:val="Standard"/>
    <w:uiPriority w:val="34"/>
    <w:rsid w:val="00641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GSO">
  <a:themeElements>
    <a:clrScheme name="MIGSO">
      <a:dk1>
        <a:srgbClr val="4D4D4D"/>
      </a:dk1>
      <a:lt1>
        <a:srgbClr val="FFFFFF"/>
      </a:lt1>
      <a:dk2>
        <a:srgbClr val="0062A2"/>
      </a:dk2>
      <a:lt2>
        <a:srgbClr val="777777"/>
      </a:lt2>
      <a:accent1>
        <a:srgbClr val="0062A2"/>
      </a:accent1>
      <a:accent2>
        <a:srgbClr val="0088CD"/>
      </a:accent2>
      <a:accent3>
        <a:srgbClr val="A6A6A6"/>
      </a:accent3>
      <a:accent4>
        <a:srgbClr val="DEDEDE"/>
      </a:accent4>
      <a:accent5>
        <a:srgbClr val="800000"/>
      </a:accent5>
      <a:accent6>
        <a:srgbClr val="000000"/>
      </a:accent6>
      <a:hlink>
        <a:srgbClr val="00A9DF"/>
      </a:hlink>
      <a:folHlink>
        <a:srgbClr val="00A9DF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07A5B2A5C9644BF34EA1E75460152" ma:contentTypeVersion="0" ma:contentTypeDescription="Create a new document." ma:contentTypeScope="" ma:versionID="f0421859278c0b5e2b17f71c91013be6">
  <xsd:schema xmlns:xsd="http://www.w3.org/2001/XMLSchema" xmlns:xs="http://www.w3.org/2001/XMLSchema" xmlns:p="http://schemas.microsoft.com/office/2006/metadata/properties" xmlns:ns2="648cf879-b35d-43c2-8670-a58e33b09e9e" targetNamespace="http://schemas.microsoft.com/office/2006/metadata/properties" ma:root="true" ma:fieldsID="f8224c5cb49507c0d84610c3a83cf2a8" ns2:_="">
    <xsd:import namespace="648cf879-b35d-43c2-8670-a58e33b09e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cf879-b35d-43c2-8670-a58e33b09e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9fa7bfb-54c7-4e45-9366-75d42ecc4022}" ma:internalName="TaxCatchAll" ma:showField="CatchAllData" ma:web="648cf879-b35d-43c2-8670-a58e33b09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9fa7bfb-54c7-4e45-9366-75d42ecc4022}" ma:internalName="TaxCatchAllLabel" ma:readOnly="true" ma:showField="CatchAllDataLabel" ma:web="648cf879-b35d-43c2-8670-a58e33b09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8cf879-b35d-43c2-8670-a58e33b09e9e">H5U3J67MUCU5-539-178</_dlc_DocId>
    <_dlc_DocIdUrl xmlns="648cf879-b35d-43c2-8670-a58e33b09e9e">
      <Url>http://mi-gsogroup/communication/_layouts/DocIdRedir.aspx?ID=H5U3J67MUCU5-539-178</Url>
      <Description>H5U3J67MUCU5-539-178</Description>
    </_dlc_DocIdUrl>
    <TaxCatchAll xmlns="648cf879-b35d-43c2-8670-a58e33b09e9e"/>
    <_dlc_DocIdPersistId xmlns="648cf879-b35d-43c2-8670-a58e33b09e9e">false</_dlc_DocIdPersistId>
  </documentManagement>
</p:properties>
</file>

<file path=customXml/itemProps1.xml><?xml version="1.0" encoding="utf-8"?>
<ds:datastoreItem xmlns:ds="http://schemas.openxmlformats.org/officeDocument/2006/customXml" ds:itemID="{E1968085-5B44-44C9-BE69-F48989CAE3E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389AD7B-152E-4B91-873E-BFD92CD53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302FB-E351-450C-AF25-A1D0A4C723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3887FB-C2EE-485F-8D6F-99FBC7DCB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cf879-b35d-43c2-8670-a58e33b09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139D6C-6C7F-4B0F-8012-5B3379714C35}">
  <ds:schemaRefs>
    <ds:schemaRef ds:uri="http://schemas.microsoft.com/office/2006/metadata/properties"/>
    <ds:schemaRef ds:uri="http://schemas.microsoft.com/office/infopath/2007/PartnerControls"/>
    <ds:schemaRef ds:uri="648cf879-b35d-43c2-8670-a58e33b09e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897</Words>
  <Characters>5652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ALTENGROUP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JMAdelaide</dc:creator>
  <cp:lastModifiedBy>Dominik Edmeier</cp:lastModifiedBy>
  <cp:revision>56</cp:revision>
  <cp:lastPrinted>2015-12-07T14:38:00Z</cp:lastPrinted>
  <dcterms:created xsi:type="dcterms:W3CDTF">2016-06-23T06:36:00Z</dcterms:created>
  <dcterms:modified xsi:type="dcterms:W3CDTF">2023-03-20T08:59:00Z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9ebfdc14-f531-4be1-87e6-266f217b6af6</vt:lpwstr>
  </property>
  <property fmtid="{D5CDD505-2E9C-101B-9397-08002B2CF9AE}" pid="3" name="ContentTypeId">
    <vt:lpwstr>0x01010082007A5B2A5C9644BF34EA1E75460152</vt:lpwstr>
  </property>
  <property fmtid="{D5CDD505-2E9C-101B-9397-08002B2CF9AE}" pid="4" name="TemplateUrl">
    <vt:lpwstr/>
  </property>
  <property fmtid="{D5CDD505-2E9C-101B-9397-08002B2CF9AE}" pid="5" name="Order">
    <vt:r8>4600</vt:r8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